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1801AE">
        <w:tc>
          <w:tcPr>
            <w:tcW w:w="438" w:type="pct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b/>
              </w:rPr>
            </w:pPr>
            <w:r w:rsidRPr="008F69EE">
              <w:rPr>
                <w:b/>
              </w:rPr>
              <w:t>IDENTIFIKACE LÁTKY/PŘÍPRAVU A SPOLEČNOSTI/PODNIKU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AD2989" w:rsidTr="00F037BD">
        <w:tc>
          <w:tcPr>
            <w:tcW w:w="5495" w:type="dxa"/>
            <w:tcBorders>
              <w:bottom w:val="nil"/>
              <w:right w:val="nil"/>
            </w:tcBorders>
          </w:tcPr>
          <w:p w:rsidR="00AD2989" w:rsidRPr="00AD2989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Identifikátor výrobku</w:t>
            </w:r>
          </w:p>
        </w:tc>
        <w:tc>
          <w:tcPr>
            <w:tcW w:w="3793" w:type="dxa"/>
            <w:tcBorders>
              <w:left w:val="nil"/>
              <w:bottom w:val="nil"/>
            </w:tcBorders>
          </w:tcPr>
          <w:p w:rsidR="00AD2989" w:rsidRDefault="00AD2989" w:rsidP="00F037BD">
            <w:pPr>
              <w:pStyle w:val="Odstavecseseznamem"/>
              <w:ind w:left="-108"/>
            </w:pPr>
          </w:p>
        </w:tc>
      </w:tr>
      <w:tr w:rsidR="00F037BD" w:rsidTr="00AD2989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:rsidR="00F037BD" w:rsidRDefault="00F037BD" w:rsidP="00AD2989">
            <w:pPr>
              <w:pStyle w:val="Odstavecseseznamem"/>
              <w:ind w:left="792"/>
            </w:pPr>
            <w:r w:rsidRPr="007C69DB">
              <w:rPr>
                <w:b/>
              </w:rPr>
              <w:t>Chemický název látky/obchodní název přípravku</w:t>
            </w:r>
            <w:r>
              <w:t>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F037BD" w:rsidRDefault="00DD67D0" w:rsidP="0055615E">
            <w:pPr>
              <w:pStyle w:val="Odstavecseseznamem"/>
              <w:ind w:left="-108"/>
            </w:pPr>
            <w:r w:rsidRPr="00DD67D0">
              <w:t>Cit čistič odpadů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F037BD" w:rsidRDefault="00F037BD" w:rsidP="00E502FC">
            <w:pPr>
              <w:pStyle w:val="Odstavecseseznamem"/>
              <w:ind w:left="792"/>
            </w:pPr>
            <w:r w:rsidRPr="007C69DB">
              <w:rPr>
                <w:b/>
              </w:rPr>
              <w:t>Další název látky</w:t>
            </w:r>
            <w:r w:rsidRPr="008F19E5">
              <w:rPr>
                <w:b/>
                <w:i/>
              </w:rPr>
              <w:t xml:space="preserve">: </w:t>
            </w:r>
            <w:r w:rsidR="00DD67D0">
              <w:t xml:space="preserve">louh sodný, </w:t>
            </w:r>
            <w:proofErr w:type="spellStart"/>
            <w:r w:rsidR="00DD67D0">
              <w:t>kaustifikovaná</w:t>
            </w:r>
            <w:proofErr w:type="spellEnd"/>
            <w:r w:rsidR="00DD67D0">
              <w:t xml:space="preserve"> soda</w:t>
            </w:r>
          </w:p>
          <w:p w:rsidR="00DD67D0" w:rsidRDefault="00DD67D0" w:rsidP="00E502FC">
            <w:pPr>
              <w:pStyle w:val="Odstavecseseznamem"/>
              <w:ind w:left="792"/>
              <w:rPr>
                <w:b/>
              </w:rPr>
            </w:pPr>
            <w:r>
              <w:rPr>
                <w:b/>
              </w:rPr>
              <w:t xml:space="preserve">Identifikační číslo: </w:t>
            </w:r>
            <w:r w:rsidRPr="00DD67D0">
              <w:t>011-002-00-6</w:t>
            </w:r>
          </w:p>
          <w:p w:rsidR="00DD67D0" w:rsidRPr="002B1E40" w:rsidRDefault="00DD67D0" w:rsidP="00E502FC">
            <w:pPr>
              <w:pStyle w:val="Odstavecseseznamem"/>
              <w:ind w:left="792"/>
              <w:rPr>
                <w:b/>
              </w:rPr>
            </w:pPr>
            <w:r>
              <w:rPr>
                <w:b/>
              </w:rPr>
              <w:t xml:space="preserve">Registrační číslo: </w:t>
            </w:r>
            <w:r w:rsidRPr="00DD67D0">
              <w:t>01-2119457892-27-0029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bottom w:val="nil"/>
            </w:tcBorders>
          </w:tcPr>
          <w:p w:rsidR="00F037BD" w:rsidRDefault="00AD2989" w:rsidP="00AD2989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Příslušná určená použití látky nebo směsi a nedoporučená použití</w:t>
            </w:r>
            <w:r w:rsidR="00F037BD" w:rsidRPr="008F19E5">
              <w:rPr>
                <w:b/>
                <w:i/>
              </w:rPr>
              <w:t>:</w:t>
            </w:r>
            <w:r w:rsidR="00F037BD">
              <w:t xml:space="preserve"> </w:t>
            </w:r>
          </w:p>
        </w:tc>
      </w:tr>
      <w:tr w:rsidR="00AD2989" w:rsidTr="00AD2989">
        <w:tc>
          <w:tcPr>
            <w:tcW w:w="9288" w:type="dxa"/>
            <w:gridSpan w:val="2"/>
            <w:tcBorders>
              <w:top w:val="nil"/>
            </w:tcBorders>
          </w:tcPr>
          <w:p w:rsid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Použití</w:t>
            </w:r>
            <w:r>
              <w:t xml:space="preserve">: </w:t>
            </w:r>
            <w:r w:rsidR="00DD67D0">
              <w:t>přípravek pro čistění odpadů</w:t>
            </w:r>
          </w:p>
          <w:p w:rsidR="00AD2989" w:rsidRP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Nedoporučená použití</w:t>
            </w:r>
            <w:r>
              <w:t>:</w:t>
            </w:r>
            <w:r w:rsidR="003953C0">
              <w:t xml:space="preserve"> neuvedena</w:t>
            </w:r>
          </w:p>
        </w:tc>
      </w:tr>
      <w:tr w:rsidR="00F037BD" w:rsidTr="008F19E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F037BD" w:rsidRPr="008F19E5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i/>
              </w:rPr>
            </w:pPr>
            <w:r>
              <w:rPr>
                <w:b/>
                <w:u w:val="single"/>
              </w:rPr>
              <w:t>Podrobné údaje o dodavateli bezpečnostního listu</w:t>
            </w:r>
            <w:r w:rsidR="00F037BD" w:rsidRPr="008F19E5">
              <w:rPr>
                <w:b/>
                <w:i/>
              </w:rPr>
              <w:t>: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Jméno nebo obchodní jméno</w:t>
            </w:r>
            <w:r w:rsidRPr="00523572">
              <w:rPr>
                <w:rFonts w:ascii="Calibri" w:eastAsia="Calibri" w:hAnsi="Calibri" w:cs="Times New Roman"/>
                <w:b/>
                <w:i/>
              </w:rPr>
              <w:t xml:space="preserve">: </w:t>
            </w:r>
            <w:r w:rsidRPr="00523572">
              <w:rPr>
                <w:rFonts w:ascii="Calibri" w:eastAsia="Calibri" w:hAnsi="Calibri" w:cs="Times New Roman"/>
              </w:rPr>
              <w:t>Dochema s.r.o.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Místo podnikání nebo sídlo:</w:t>
            </w:r>
            <w:r w:rsidRPr="00523572">
              <w:rPr>
                <w:rFonts w:ascii="Calibri" w:eastAsia="Calibri" w:hAnsi="Calibri" w:cs="Times New Roman"/>
              </w:rPr>
              <w:t xml:space="preserve">  Olomoucká 67/349</w:t>
            </w:r>
          </w:p>
          <w:p w:rsidR="00523572" w:rsidRPr="00523572" w:rsidRDefault="00523572" w:rsidP="00523572">
            <w:pPr>
              <w:ind w:left="3402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t>571 01 Moravská Třebová</w:t>
            </w:r>
          </w:p>
          <w:p w:rsidR="00523572" w:rsidRPr="00523572" w:rsidRDefault="00523572" w:rsidP="00523572">
            <w:pPr>
              <w:ind w:left="851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br/>
            </w:r>
            <w:r w:rsidRPr="00523572">
              <w:rPr>
                <w:rFonts w:ascii="Calibri" w:eastAsia="Calibri" w:hAnsi="Calibri" w:cs="Times New Roman"/>
                <w:b/>
              </w:rPr>
              <w:t>IČO:</w:t>
            </w:r>
            <w:r w:rsidR="0055615E">
              <w:rPr>
                <w:rFonts w:ascii="Calibri" w:eastAsia="Calibri" w:hAnsi="Calibri" w:cs="Times New Roman"/>
              </w:rPr>
              <w:t xml:space="preserve"> 25994883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Telefon: </w:t>
            </w:r>
            <w:r w:rsidRPr="00523572">
              <w:rPr>
                <w:rFonts w:ascii="Calibri" w:eastAsia="Calibri" w:hAnsi="Calibri" w:cs="Times New Roman"/>
                <w:lang w:val="en-GB"/>
              </w:rPr>
              <w:t>+420 461 312 725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e-mail: </w:t>
            </w:r>
            <w:r w:rsidRPr="00523572">
              <w:rPr>
                <w:rFonts w:ascii="Calibri" w:eastAsia="Calibri" w:hAnsi="Calibri" w:cs="Times New Roman"/>
                <w:lang w:val="de-DE"/>
              </w:rPr>
              <w:t>dochema@dochema.cz</w:t>
            </w:r>
          </w:p>
          <w:p w:rsidR="00E502FC" w:rsidRPr="003953C0" w:rsidRDefault="00523572" w:rsidP="00523572">
            <w:pPr>
              <w:pStyle w:val="Odstavecseseznamem"/>
              <w:ind w:left="792"/>
            </w:pPr>
            <w:r w:rsidRPr="00523572">
              <w:rPr>
                <w:rFonts w:ascii="Calibri" w:eastAsia="Calibri" w:hAnsi="Calibri" w:cs="Times New Roman"/>
                <w:b/>
              </w:rPr>
              <w:t>odborně způsobilá osoba:</w:t>
            </w:r>
            <w:r w:rsidRPr="00523572">
              <w:rPr>
                <w:rFonts w:ascii="Calibri" w:eastAsia="Calibri" w:hAnsi="Calibri" w:cs="Times New Roman"/>
              </w:rPr>
              <w:t xml:space="preserve"> Roman Dorazil</w:t>
            </w:r>
          </w:p>
        </w:tc>
      </w:tr>
      <w:tr w:rsidR="008F19E5" w:rsidTr="003953C0">
        <w:tc>
          <w:tcPr>
            <w:tcW w:w="9288" w:type="dxa"/>
            <w:gridSpan w:val="2"/>
          </w:tcPr>
          <w:p w:rsidR="00AD2989" w:rsidRPr="00AD2989" w:rsidRDefault="00AD2989" w:rsidP="008F19E5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Telefonní číslo pro naléhavé situace:</w:t>
            </w:r>
          </w:p>
          <w:p w:rsidR="008F19E5" w:rsidRPr="007C69DB" w:rsidRDefault="008F19E5" w:rsidP="00AD2989">
            <w:pPr>
              <w:pStyle w:val="Odstavecseseznamem"/>
              <w:ind w:left="792"/>
            </w:pPr>
            <w:r w:rsidRPr="007C69DB">
              <w:rPr>
                <w:b/>
              </w:rPr>
              <w:t>Nouzové telefonní číslo pro mimořádné situace:</w:t>
            </w:r>
            <w:r w:rsidRPr="007C69DB">
              <w:t xml:space="preserve"> +420</w:t>
            </w:r>
            <w:r w:rsidR="003953C0" w:rsidRPr="007C69DB">
              <w:t> 731 151 797</w:t>
            </w:r>
          </w:p>
          <w:p w:rsidR="008F19E5" w:rsidRPr="007C69DB" w:rsidRDefault="008F19E5" w:rsidP="008F19E5">
            <w:pPr>
              <w:pStyle w:val="Odstavecseseznamem"/>
              <w:ind w:left="792"/>
            </w:pPr>
            <w:r w:rsidRPr="007C69DB">
              <w:rPr>
                <w:b/>
              </w:rPr>
              <w:t>Toxikologické informační středisko:</w:t>
            </w:r>
            <w:r w:rsidRPr="007C69DB">
              <w:t xml:space="preserve"> : </w:t>
            </w:r>
            <w:r w:rsidR="00980311" w:rsidRPr="00980311">
              <w:t>Na Bojišti 1, 128 21 Praha 2</w:t>
            </w:r>
          </w:p>
          <w:p w:rsidR="008F19E5" w:rsidRDefault="008F19E5" w:rsidP="00B7327E">
            <w:pPr>
              <w:pStyle w:val="Odstavecseseznamem"/>
              <w:ind w:left="792"/>
            </w:pPr>
            <w:r w:rsidRPr="007C69DB">
              <w:rPr>
                <w:b/>
              </w:rPr>
              <w:t>Telefon (</w:t>
            </w:r>
            <w:r w:rsidR="00B7327E" w:rsidRPr="007C69DB">
              <w:rPr>
                <w:b/>
              </w:rPr>
              <w:t>24 hodin denně</w:t>
            </w:r>
            <w:r w:rsidRPr="007C69DB">
              <w:rPr>
                <w:b/>
              </w:rPr>
              <w:t>):</w:t>
            </w:r>
            <w:r>
              <w:t xml:space="preserve"> +420 </w:t>
            </w:r>
            <w:r w:rsidRPr="008F19E5">
              <w:t xml:space="preserve">224 919 293; </w:t>
            </w:r>
            <w:r>
              <w:t xml:space="preserve">+420 </w:t>
            </w:r>
            <w:r w:rsidRPr="008F19E5">
              <w:t xml:space="preserve">224 915 402 </w:t>
            </w:r>
          </w:p>
        </w:tc>
      </w:tr>
    </w:tbl>
    <w:p w:rsidR="008F19E5" w:rsidRDefault="008F19E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488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940791">
              <w:rPr>
                <w:b/>
              </w:rPr>
              <w:t>ODDÍL</w:t>
            </w:r>
          </w:p>
        </w:tc>
        <w:tc>
          <w:tcPr>
            <w:tcW w:w="8488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940791">
              <w:rPr>
                <w:b/>
              </w:rPr>
              <w:t>IDENTIFIKACE NEBEZPEČNOSTI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8F19E5" w:rsidTr="00665081">
        <w:tc>
          <w:tcPr>
            <w:tcW w:w="9288" w:type="dxa"/>
          </w:tcPr>
          <w:p w:rsidR="008F19E5" w:rsidRPr="0038791B" w:rsidRDefault="008F19E5" w:rsidP="008F19E5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38791B">
              <w:rPr>
                <w:b/>
                <w:u w:val="single"/>
              </w:rPr>
              <w:t>Klasifikace látky nebo směsi</w:t>
            </w:r>
          </w:p>
          <w:p w:rsidR="008F19E5" w:rsidRDefault="00DD67D0" w:rsidP="00080E2C">
            <w:pPr>
              <w:pStyle w:val="Odstavecseseznamem"/>
              <w:ind w:left="792"/>
            </w:pPr>
            <w:r>
              <w:t>Přípravek je klasifikován jako nebezpečný</w:t>
            </w:r>
          </w:p>
          <w:p w:rsidR="00080E2C" w:rsidRDefault="00080E2C" w:rsidP="00E62F62">
            <w:pPr>
              <w:ind w:left="720"/>
            </w:pPr>
          </w:p>
          <w:p w:rsidR="00E62F62" w:rsidRDefault="00E62F62" w:rsidP="00E62F62">
            <w:pPr>
              <w:ind w:left="720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E62F62" w:rsidRDefault="0055615E" w:rsidP="00932821">
            <w:pPr>
              <w:ind w:left="720"/>
            </w:pPr>
            <w:r>
              <w:t xml:space="preserve">Skin </w:t>
            </w:r>
            <w:proofErr w:type="spellStart"/>
            <w:r>
              <w:t>Corr</w:t>
            </w:r>
            <w:proofErr w:type="spellEnd"/>
            <w:r>
              <w:t>. 1</w:t>
            </w:r>
            <w:r w:rsidR="00DD67D0">
              <w:t>A</w:t>
            </w:r>
            <w:r>
              <w:t>; H314</w:t>
            </w:r>
          </w:p>
          <w:p w:rsidR="00DD67D0" w:rsidRDefault="00DD67D0" w:rsidP="00932821">
            <w:pPr>
              <w:ind w:left="720"/>
            </w:pPr>
            <w:proofErr w:type="spellStart"/>
            <w:r>
              <w:t>Eye</w:t>
            </w:r>
            <w:proofErr w:type="spellEnd"/>
            <w:r>
              <w:t xml:space="preserve"> Dam. 1; H318</w:t>
            </w:r>
          </w:p>
          <w:p w:rsidR="006460CE" w:rsidRPr="00F37131" w:rsidRDefault="006460CE" w:rsidP="0055615E">
            <w:pPr>
              <w:ind w:left="720"/>
            </w:pPr>
          </w:p>
        </w:tc>
      </w:tr>
      <w:tr w:rsidR="008F19E5" w:rsidTr="00F23174">
        <w:trPr>
          <w:trHeight w:val="458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F23174" w:rsidRPr="00932821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932821">
              <w:rPr>
                <w:b/>
                <w:u w:val="single"/>
              </w:rPr>
              <w:t>Prvky označení</w:t>
            </w:r>
          </w:p>
          <w:p w:rsidR="00E62F62" w:rsidRDefault="00E62F62" w:rsidP="00E62F62">
            <w:pPr>
              <w:ind w:left="851"/>
              <w:rPr>
                <w:b/>
              </w:rPr>
            </w:pPr>
            <w:r w:rsidRPr="00E62F62">
              <w:rPr>
                <w:b/>
              </w:rPr>
              <w:t>dle Nařízení ES 1272/2008:</w:t>
            </w:r>
          </w:p>
          <w:p w:rsidR="00E62F62" w:rsidRDefault="0055615E" w:rsidP="00E62F62">
            <w:pPr>
              <w:ind w:left="851"/>
            </w:pPr>
            <w:r>
              <w:rPr>
                <w:noProof/>
              </w:rPr>
              <w:drawing>
                <wp:inline distT="0" distB="0" distL="0" distR="0">
                  <wp:extent cx="432000" cy="432000"/>
                  <wp:effectExtent l="0" t="0" r="6350" b="6350"/>
                  <wp:docPr id="2" name="Obrázek 2" descr="GH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0CE">
              <w:t xml:space="preserve"> </w:t>
            </w:r>
          </w:p>
          <w:p w:rsidR="00E62F62" w:rsidRDefault="0055615E" w:rsidP="00E62F62">
            <w:pPr>
              <w:ind w:left="851"/>
            </w:pPr>
            <w:r>
              <w:t>Nebezpečí</w:t>
            </w:r>
          </w:p>
          <w:p w:rsidR="0099366F" w:rsidRDefault="0099366F" w:rsidP="00E62F62">
            <w:pPr>
              <w:ind w:left="851"/>
            </w:pPr>
          </w:p>
          <w:p w:rsidR="0055615E" w:rsidRDefault="0055615E" w:rsidP="0055615E">
            <w:pPr>
              <w:ind w:left="851"/>
            </w:pPr>
            <w:r>
              <w:t>H314 Způsobuje těžké poleptání kůže a poškození očí</w:t>
            </w:r>
          </w:p>
          <w:p w:rsidR="0055615E" w:rsidRDefault="0055615E" w:rsidP="0055615E">
            <w:pPr>
              <w:ind w:left="851"/>
            </w:pPr>
            <w:r>
              <w:t>H318 Způsobuje vážné poškození očí</w:t>
            </w:r>
          </w:p>
          <w:p w:rsidR="0055615E" w:rsidRDefault="0055615E" w:rsidP="00E62F62">
            <w:pPr>
              <w:ind w:left="851"/>
            </w:pPr>
          </w:p>
          <w:p w:rsidR="0055615E" w:rsidRPr="00D604C8" w:rsidRDefault="0055615E" w:rsidP="0055615E">
            <w:pPr>
              <w:ind w:left="851"/>
            </w:pPr>
            <w:r w:rsidRPr="00D604C8">
              <w:t>P260 Nevdechujte páry/mlhu.</w:t>
            </w:r>
          </w:p>
          <w:p w:rsidR="005A063E" w:rsidRPr="00D604C8" w:rsidRDefault="009E2670" w:rsidP="00980311">
            <w:pPr>
              <w:ind w:left="851"/>
            </w:pPr>
            <w:r w:rsidRPr="00D604C8">
              <w:t>P</w:t>
            </w:r>
            <w:r w:rsidR="005A063E" w:rsidRPr="00D604C8">
              <w:t>264 Po manipulaci důkladně omyjte ruce.</w:t>
            </w:r>
          </w:p>
          <w:p w:rsidR="005A063E" w:rsidRPr="00D604C8" w:rsidRDefault="005A063E" w:rsidP="00980311">
            <w:pPr>
              <w:ind w:left="851"/>
            </w:pPr>
            <w:r w:rsidRPr="00D604C8">
              <w:t>P280 Používejte ochranné rukavice a ochranné brýle.</w:t>
            </w:r>
          </w:p>
          <w:p w:rsidR="0055615E" w:rsidRPr="00D604C8" w:rsidRDefault="0055615E" w:rsidP="0055615E">
            <w:pPr>
              <w:ind w:left="851"/>
            </w:pPr>
            <w:r w:rsidRPr="00D604C8">
              <w:lastRenderedPageBreak/>
              <w:t>P301 + P330 + P331 PŘI POŽITÍ: Vypláchněte ústa. NEVYVOLÁVEJTE zvracení.</w:t>
            </w:r>
          </w:p>
          <w:p w:rsidR="0055615E" w:rsidRPr="00D604C8" w:rsidRDefault="0055615E" w:rsidP="0055615E">
            <w:pPr>
              <w:ind w:left="851"/>
            </w:pPr>
            <w:r w:rsidRPr="00D604C8">
              <w:t>P303 + P361 + P353 PŘI STYKU S KŮŽÍ (nebo s vlasy): Veškeré kontaminované části oděvu okamžitě svlékněte. Opláchněte kůži vodou/osprchujte.</w:t>
            </w:r>
          </w:p>
          <w:p w:rsidR="0055615E" w:rsidRPr="00D604C8" w:rsidRDefault="0055615E" w:rsidP="0055615E">
            <w:pPr>
              <w:ind w:left="851"/>
            </w:pPr>
            <w:r w:rsidRPr="00D604C8">
              <w:t>P304 + P340 PŘI VDECHNUTÍ: Přeneste postiženého na čerstvý vzduch a ponechte jej v klidu v poloze usnadňující dýchání.</w:t>
            </w:r>
          </w:p>
          <w:p w:rsidR="0055615E" w:rsidRPr="00D604C8" w:rsidRDefault="0055615E" w:rsidP="005A063E">
            <w:pPr>
              <w:ind w:left="851"/>
            </w:pPr>
            <w:r w:rsidRPr="00D604C8">
              <w:t xml:space="preserve">P305 + P351 + P338 PŘI ZASAŽENÍ OČÍ: Několik minut opatrně vyplachujte vodou. Vyjměte kontaktní čočky, jsou-li </w:t>
            </w:r>
            <w:proofErr w:type="gramStart"/>
            <w:r w:rsidRPr="00D604C8">
              <w:t>nasazeny a pokud</w:t>
            </w:r>
            <w:proofErr w:type="gramEnd"/>
            <w:r w:rsidRPr="00D604C8">
              <w:t xml:space="preserve"> je lze vyjmout snadno. Pokračujte ve vyplachování.</w:t>
            </w:r>
          </w:p>
          <w:p w:rsidR="0055615E" w:rsidRPr="00D604C8" w:rsidRDefault="0055615E" w:rsidP="006460CE">
            <w:pPr>
              <w:ind w:left="851"/>
            </w:pPr>
            <w:r w:rsidRPr="00D604C8">
              <w:t>P310</w:t>
            </w:r>
            <w:r w:rsidR="006460CE" w:rsidRPr="00D604C8">
              <w:t xml:space="preserve"> Okamžitě volejte TOXIKOLOGICKÉINFORMAČNÍ STŘEDISKO nebo lékaře.</w:t>
            </w:r>
          </w:p>
          <w:p w:rsidR="0055615E" w:rsidRPr="00D604C8" w:rsidRDefault="0055615E" w:rsidP="006460CE">
            <w:pPr>
              <w:ind w:left="851"/>
            </w:pPr>
            <w:r w:rsidRPr="00D604C8">
              <w:t>P321</w:t>
            </w:r>
            <w:r w:rsidR="006460CE" w:rsidRPr="00D604C8">
              <w:t xml:space="preserve"> Odborné ošetření viz doplňující pokyny pro první pomoc.</w:t>
            </w:r>
          </w:p>
          <w:p w:rsidR="00DD67D0" w:rsidRPr="00D604C8" w:rsidRDefault="00DD67D0" w:rsidP="00D604C8">
            <w:pPr>
              <w:ind w:left="851"/>
            </w:pPr>
            <w:r w:rsidRPr="00D604C8">
              <w:t>P363</w:t>
            </w:r>
            <w:r w:rsidR="00D604C8" w:rsidRPr="00D604C8">
              <w:t xml:space="preserve"> Kontaminovaný oděv před opětovným použitím vyperte.</w:t>
            </w:r>
          </w:p>
          <w:p w:rsidR="0055615E" w:rsidRPr="00D604C8" w:rsidRDefault="0055615E" w:rsidP="006460CE">
            <w:pPr>
              <w:spacing w:line="276" w:lineRule="auto"/>
              <w:ind w:left="851"/>
            </w:pPr>
            <w:r w:rsidRPr="00D604C8">
              <w:t>P405</w:t>
            </w:r>
            <w:r w:rsidR="006460CE" w:rsidRPr="00D604C8">
              <w:t xml:space="preserve"> Skladujte uzamčené.</w:t>
            </w:r>
          </w:p>
          <w:p w:rsidR="00E7451F" w:rsidRDefault="00E7451F" w:rsidP="006460CE">
            <w:pPr>
              <w:spacing w:line="276" w:lineRule="auto"/>
              <w:ind w:left="851"/>
            </w:pPr>
          </w:p>
          <w:p w:rsidR="00E7451F" w:rsidRPr="006460CE" w:rsidRDefault="00E7451F" w:rsidP="00D604C8">
            <w:pPr>
              <w:spacing w:line="276" w:lineRule="auto"/>
              <w:ind w:left="851"/>
              <w:rPr>
                <w:highlight w:val="yellow"/>
              </w:rPr>
            </w:pPr>
            <w:r>
              <w:t xml:space="preserve">Obsahuje </w:t>
            </w:r>
            <w:r w:rsidR="00D604C8">
              <w:t xml:space="preserve">hydroxid sodný (indexové číslo: </w:t>
            </w:r>
            <w:r w:rsidR="00D604C8" w:rsidRPr="00D604C8">
              <w:t>011-002-00-6</w:t>
            </w:r>
            <w:r w:rsidR="00D604C8">
              <w:t>)</w:t>
            </w:r>
          </w:p>
        </w:tc>
      </w:tr>
      <w:tr w:rsidR="00F23174" w:rsidTr="00F23174">
        <w:trPr>
          <w:trHeight w:val="4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74" w:rsidRPr="00F23174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Další nebezpečnost</w:t>
            </w:r>
          </w:p>
          <w:p w:rsidR="003E3986" w:rsidRPr="00F23174" w:rsidRDefault="003E3986" w:rsidP="003E3986">
            <w:pPr>
              <w:ind w:left="851"/>
            </w:pPr>
            <w:r>
              <w:t>Možné nesprávné použití je takové</w:t>
            </w:r>
            <w:r w:rsidRPr="003E3986">
              <w:t>, které není v souladu s návodem k použití a údaji v tomto bezpečnostním listu.</w:t>
            </w:r>
          </w:p>
        </w:tc>
      </w:tr>
    </w:tbl>
    <w:p w:rsidR="005D03C7" w:rsidRDefault="005D03C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8312"/>
      </w:tblGrid>
      <w:tr w:rsidR="00121FB0" w:rsidRPr="008F69EE" w:rsidTr="00121FB0">
        <w:tc>
          <w:tcPr>
            <w:tcW w:w="976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SLOŽENÍ/INFORMACE O SLOŽKÁCH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1843"/>
        <w:gridCol w:w="1950"/>
      </w:tblGrid>
      <w:tr w:rsidR="00AD2989" w:rsidTr="003E3986">
        <w:trPr>
          <w:trHeight w:val="426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Látky</w:t>
            </w:r>
          </w:p>
          <w:p w:rsidR="00586863" w:rsidRPr="00FA563A" w:rsidRDefault="00586863" w:rsidP="00D604C8"/>
        </w:tc>
      </w:tr>
      <w:tr w:rsidR="00D604C8" w:rsidTr="00435601">
        <w:tc>
          <w:tcPr>
            <w:tcW w:w="152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D604C8" w:rsidRPr="00FA563A" w:rsidRDefault="00D604C8" w:rsidP="00435601">
            <w:pPr>
              <w:pStyle w:val="Odstavecseseznamem"/>
              <w:ind w:left="792" w:hanging="792"/>
              <w:jc w:val="center"/>
              <w:rPr>
                <w:b/>
              </w:rPr>
            </w:pPr>
            <w:r w:rsidRPr="00FA563A">
              <w:rPr>
                <w:b/>
              </w:rPr>
              <w:t>Čísla:</w:t>
            </w:r>
          </w:p>
          <w:p w:rsidR="00D604C8" w:rsidRPr="00FA563A" w:rsidRDefault="00D604C8" w:rsidP="00435601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Indexové;</w:t>
            </w:r>
          </w:p>
          <w:p w:rsidR="00D604C8" w:rsidRPr="00FA563A" w:rsidRDefault="00D604C8" w:rsidP="00435601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ES;</w:t>
            </w:r>
          </w:p>
          <w:p w:rsidR="00D604C8" w:rsidRPr="00FA563A" w:rsidRDefault="00D604C8" w:rsidP="00435601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CAS</w:t>
            </w:r>
          </w:p>
        </w:tc>
        <w:tc>
          <w:tcPr>
            <w:tcW w:w="2410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D604C8" w:rsidRPr="00FA563A" w:rsidRDefault="00D604C8" w:rsidP="00435601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1559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D604C8" w:rsidRPr="001F4223" w:rsidRDefault="00D604C8" w:rsidP="00435601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A563A">
              <w:rPr>
                <w:b/>
              </w:rPr>
              <w:t>bsah</w:t>
            </w:r>
          </w:p>
        </w:tc>
        <w:tc>
          <w:tcPr>
            <w:tcW w:w="3793" w:type="dxa"/>
            <w:gridSpan w:val="2"/>
            <w:tcBorders>
              <w:top w:val="dotted" w:sz="2" w:space="0" w:color="auto"/>
              <w:left w:val="dotted" w:sz="2" w:space="0" w:color="auto"/>
              <w:bottom w:val="nil"/>
            </w:tcBorders>
            <w:vAlign w:val="center"/>
          </w:tcPr>
          <w:p w:rsidR="00D604C8" w:rsidRDefault="00D604C8" w:rsidP="0043560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dle Nařízení 1272/2008 ES</w:t>
            </w:r>
          </w:p>
        </w:tc>
      </w:tr>
      <w:tr w:rsidR="00D604C8" w:rsidRPr="00FA563A" w:rsidTr="00435601">
        <w:tc>
          <w:tcPr>
            <w:tcW w:w="152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D604C8" w:rsidRPr="00FA563A" w:rsidRDefault="00D604C8" w:rsidP="00435601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604C8" w:rsidRPr="00FA563A" w:rsidRDefault="00D604C8" w:rsidP="00435601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604C8" w:rsidRPr="00FA563A" w:rsidRDefault="00D604C8" w:rsidP="00435601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604C8" w:rsidRPr="00FA563A" w:rsidRDefault="00D604C8" w:rsidP="00435601">
            <w:pPr>
              <w:pStyle w:val="Odstavecseseznamem"/>
              <w:ind w:left="0"/>
              <w:jc w:val="center"/>
              <w:rPr>
                <w:b/>
              </w:rPr>
            </w:pPr>
            <w:r w:rsidRPr="001801AE">
              <w:rPr>
                <w:b/>
              </w:rPr>
              <w:t>Klasifikace</w:t>
            </w:r>
          </w:p>
        </w:tc>
        <w:tc>
          <w:tcPr>
            <w:tcW w:w="1950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D604C8" w:rsidRPr="00FA563A" w:rsidRDefault="00D604C8" w:rsidP="0043560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H-věty</w:t>
            </w:r>
          </w:p>
        </w:tc>
      </w:tr>
      <w:tr w:rsidR="00D604C8" w:rsidRPr="00741C19" w:rsidTr="00435601">
        <w:tc>
          <w:tcPr>
            <w:tcW w:w="1526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604C8" w:rsidRDefault="00D604C8" w:rsidP="00D604C8">
            <w:pPr>
              <w:pStyle w:val="Odstavecseseznamem"/>
              <w:ind w:left="-142"/>
              <w:jc w:val="center"/>
            </w:pPr>
            <w:r>
              <w:t>011-002-00-6</w:t>
            </w:r>
          </w:p>
          <w:p w:rsidR="00D604C8" w:rsidRDefault="00D604C8" w:rsidP="00D604C8">
            <w:pPr>
              <w:pStyle w:val="Odstavecseseznamem"/>
              <w:ind w:left="-142"/>
              <w:jc w:val="center"/>
            </w:pPr>
            <w:r>
              <w:t>215-185-5</w:t>
            </w:r>
          </w:p>
          <w:p w:rsidR="00D604C8" w:rsidRDefault="00D604C8" w:rsidP="00D604C8">
            <w:pPr>
              <w:pStyle w:val="Odstavecseseznamem"/>
              <w:ind w:left="-142"/>
              <w:jc w:val="center"/>
            </w:pPr>
            <w:r>
              <w:t>1310-73-2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604C8" w:rsidRPr="00741C19" w:rsidRDefault="00D604C8" w:rsidP="00435601">
            <w:pPr>
              <w:pStyle w:val="Odstavecseseznamem"/>
              <w:ind w:left="-134"/>
              <w:jc w:val="center"/>
            </w:pPr>
            <w:r>
              <w:t>hydroxid sodný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604C8" w:rsidRPr="00741C19" w:rsidRDefault="00D604C8" w:rsidP="00435601">
            <w:pPr>
              <w:pStyle w:val="Odstavecseseznamem"/>
              <w:ind w:left="-83"/>
              <w:jc w:val="center"/>
            </w:pPr>
            <w:r>
              <w:t>min 98,5 %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604C8" w:rsidRDefault="00D604C8" w:rsidP="00435601">
            <w:pPr>
              <w:pStyle w:val="Odstavecseseznamem"/>
              <w:ind w:left="-83"/>
              <w:jc w:val="center"/>
            </w:pPr>
            <w:r>
              <w:t xml:space="preserve">Skin </w:t>
            </w:r>
            <w:proofErr w:type="spellStart"/>
            <w:r>
              <w:t>Corr</w:t>
            </w:r>
            <w:proofErr w:type="spellEnd"/>
            <w:r>
              <w:t>. 1A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D604C8" w:rsidRPr="00741C19" w:rsidRDefault="00D604C8" w:rsidP="00435601">
            <w:pPr>
              <w:pStyle w:val="Odstavecseseznamem"/>
              <w:ind w:left="-83"/>
              <w:jc w:val="center"/>
            </w:pPr>
            <w:r>
              <w:t>H314</w:t>
            </w:r>
          </w:p>
        </w:tc>
      </w:tr>
      <w:tr w:rsidR="003E3986" w:rsidTr="003E3986">
        <w:trPr>
          <w:trHeight w:val="822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Směsi</w:t>
            </w:r>
          </w:p>
          <w:p w:rsidR="0038791B" w:rsidRPr="00D604C8" w:rsidRDefault="00D604C8" w:rsidP="00E7451F">
            <w:pPr>
              <w:pStyle w:val="Odstavecseseznamem"/>
              <w:ind w:left="792"/>
              <w:rPr>
                <w:rFonts w:cs="Arial"/>
              </w:rPr>
            </w:pPr>
            <w:r>
              <w:rPr>
                <w:rFonts w:cs="Arial"/>
              </w:rPr>
              <w:t>výrobek je látka</w:t>
            </w:r>
          </w:p>
        </w:tc>
      </w:tr>
    </w:tbl>
    <w:p w:rsidR="00AD2989" w:rsidRDefault="00AD2989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50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POKYNY PRO PRVNÍ POMOC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10698" w:rsidRPr="001B6B0E" w:rsidTr="008350F7">
        <w:tc>
          <w:tcPr>
            <w:tcW w:w="9204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Popis první pomoci</w:t>
            </w:r>
          </w:p>
          <w:p w:rsidR="0046245D" w:rsidRDefault="0046245D" w:rsidP="0076262D">
            <w:pPr>
              <w:pStyle w:val="Odstavecseseznamem"/>
              <w:ind w:left="794"/>
            </w:pPr>
            <w:r>
              <w:rPr>
                <w:b/>
              </w:rPr>
              <w:t xml:space="preserve">Všeobecné pokyny: </w:t>
            </w:r>
            <w:r>
              <w:t>P</w:t>
            </w:r>
            <w:r w:rsidRPr="0046245D">
              <w:t>rojeví-li se zdravotní potíže nebo v případě pochybností uvědomt</w:t>
            </w:r>
            <w:r w:rsidR="009A03E8">
              <w:t>e</w:t>
            </w:r>
            <w:r w:rsidRPr="0046245D">
              <w:t xml:space="preserve"> lékaře</w:t>
            </w:r>
            <w:r>
              <w:t xml:space="preserve"> </w:t>
            </w:r>
            <w:r w:rsidRPr="0046245D">
              <w:t>a poskytn</w:t>
            </w:r>
            <w:r w:rsidR="009A03E8">
              <w:t>ě</w:t>
            </w:r>
            <w:r w:rsidRPr="0046245D">
              <w:t>t</w:t>
            </w:r>
            <w:r w:rsidR="009A03E8">
              <w:t>e</w:t>
            </w:r>
            <w:r w:rsidRPr="0046245D">
              <w:t xml:space="preserve"> mu informace z tohoto bezpečnostního listu</w:t>
            </w:r>
            <w:r>
              <w:t>.</w:t>
            </w:r>
          </w:p>
          <w:p w:rsidR="00487F22" w:rsidRDefault="00A10698" w:rsidP="0076262D">
            <w:pPr>
              <w:pStyle w:val="Odstavecseseznamem"/>
              <w:ind w:left="794"/>
            </w:pPr>
            <w:r>
              <w:rPr>
                <w:b/>
              </w:rPr>
              <w:t>Při vdechnutí:</w:t>
            </w:r>
            <w:r w:rsidR="0076262D">
              <w:t xml:space="preserve"> </w:t>
            </w:r>
            <w:r w:rsidR="00487F22" w:rsidRPr="00487F22">
              <w:t>Přerušit expozici, postiženého p</w:t>
            </w:r>
            <w:r w:rsidR="00CC1085">
              <w:t>řenést na čerstvý vzduch, zajistit klid, zabránit prochlazení</w:t>
            </w:r>
            <w:r w:rsidR="00487F22" w:rsidRPr="00487F22">
              <w:t>. Nedýchá-li zavézt umělé dýchání, popřípadě zajistit přívod kyslíku a přivolat lékaře.</w:t>
            </w:r>
          </w:p>
          <w:p w:rsidR="00E7451F" w:rsidRDefault="00A10698" w:rsidP="0076262D">
            <w:pPr>
              <w:pStyle w:val="Odstavecseseznamem"/>
              <w:ind w:left="794"/>
              <w:contextualSpacing w:val="0"/>
            </w:pPr>
            <w:r>
              <w:rPr>
                <w:b/>
              </w:rPr>
              <w:t>Při s</w:t>
            </w:r>
            <w:r w:rsidR="0096710A">
              <w:rPr>
                <w:b/>
              </w:rPr>
              <w:t>t</w:t>
            </w:r>
            <w:r>
              <w:rPr>
                <w:b/>
              </w:rPr>
              <w:t xml:space="preserve">yku s kůží: </w:t>
            </w:r>
            <w:r w:rsidR="00E7451F" w:rsidRPr="00E7451F">
              <w:t>Potřísněný oděv a obuv ihned odložte. Omývejte mýdlem a velkým množstv</w:t>
            </w:r>
            <w:r w:rsidR="00E7451F">
              <w:t>ím vody. Poraněné (poleptané) čá</w:t>
            </w:r>
            <w:r w:rsidR="00E7451F" w:rsidRPr="00E7451F">
              <w:t>sti pokožky překryjte sterilním obvazem. Konzultujte s lékařem.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 xml:space="preserve">Při styku s očima: </w:t>
            </w:r>
            <w:r>
              <w:t xml:space="preserve">Důkladně </w:t>
            </w:r>
            <w:r w:rsidR="009A03E8">
              <w:t>vypláchněte</w:t>
            </w:r>
            <w:r>
              <w:t xml:space="preserve"> při otevřených víčkách velkým množstvím vody alespoň 15 minut</w:t>
            </w:r>
            <w:r w:rsidRPr="001B6B0E">
              <w:t>.</w:t>
            </w:r>
            <w:r>
              <w:t xml:space="preserve"> </w:t>
            </w:r>
            <w:r w:rsidR="00A527EE">
              <w:t>Má-li postižený kontaktní čočky, vyjměte je. Při déletrvajících obtížích vyhledejte lékařskou pomoc.</w:t>
            </w:r>
          </w:p>
          <w:p w:rsidR="00A10698" w:rsidRPr="001B6B0E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>Při požití:</w:t>
            </w:r>
            <w:r w:rsidRPr="001B6B0E">
              <w:rPr>
                <w:rFonts w:ascii="CenturyGothic" w:hAnsi="CenturyGothic" w:cs="CenturyGothic"/>
                <w:sz w:val="16"/>
                <w:szCs w:val="16"/>
              </w:rPr>
              <w:t xml:space="preserve"> </w:t>
            </w:r>
            <w:r>
              <w:t xml:space="preserve">Důkladně </w:t>
            </w:r>
            <w:r w:rsidR="009A03E8">
              <w:t>vypláchněte</w:t>
            </w:r>
            <w:r>
              <w:t xml:space="preserve"> ústa vodou, </w:t>
            </w:r>
            <w:r w:rsidR="009A03E8">
              <w:t xml:space="preserve">nechte postiženého </w:t>
            </w:r>
            <w:r>
              <w:t>vypít asi 0,5L vody.</w:t>
            </w:r>
            <w:r w:rsidR="009A03E8">
              <w:t xml:space="preserve"> Nevyvolávejte zvracení, vyhledejte lékařskou pomoc.</w:t>
            </w:r>
          </w:p>
        </w:tc>
      </w:tr>
      <w:tr w:rsidR="00A10698" w:rsidRPr="001B6B0E" w:rsidTr="008350F7">
        <w:tc>
          <w:tcPr>
            <w:tcW w:w="9204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lastRenderedPageBreak/>
              <w:t>Nejdůležitější akutní a opožděné symptomy a účinky</w:t>
            </w:r>
          </w:p>
          <w:p w:rsidR="00A10698" w:rsidRDefault="0096710A" w:rsidP="0096710A">
            <w:pPr>
              <w:pStyle w:val="Odstavecseseznamem"/>
              <w:ind w:left="792"/>
            </w:pPr>
            <w:r w:rsidRPr="0096710A">
              <w:rPr>
                <w:b/>
              </w:rPr>
              <w:t>Při vdechnutí:</w:t>
            </w:r>
            <w:r w:rsidR="0076262D">
              <w:t xml:space="preserve"> </w:t>
            </w:r>
            <w:r w:rsidR="00E7451F">
              <w:t>může způsobit poleptání sliznic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kůží:</w:t>
            </w:r>
            <w:r>
              <w:t xml:space="preserve"> </w:t>
            </w:r>
            <w:r w:rsidR="00D604C8">
              <w:t xml:space="preserve">způsobuje těžké </w:t>
            </w:r>
            <w:r w:rsidR="00E7451F">
              <w:t>poleptání kůže</w:t>
            </w:r>
            <w:r w:rsidR="00D604C8">
              <w:t xml:space="preserve"> – pálení, zarudnutí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očima:</w:t>
            </w:r>
            <w:r>
              <w:t xml:space="preserve"> </w:t>
            </w:r>
            <w:r w:rsidR="00D604C8">
              <w:t>způsobuje vážné poškození očí – pálení, zarudnutí, bolest</w:t>
            </w:r>
          </w:p>
          <w:p w:rsidR="0096710A" w:rsidRPr="001B6B0E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požití:</w:t>
            </w:r>
            <w:r>
              <w:t xml:space="preserve"> může dojít k</w:t>
            </w:r>
            <w:r w:rsidR="00E7451F">
              <w:t> </w:t>
            </w:r>
            <w:r>
              <w:t>podráždění</w:t>
            </w:r>
            <w:r w:rsidR="00E7451F">
              <w:t xml:space="preserve"> a poleptání sliznic trávicího traktu</w:t>
            </w:r>
            <w:r w:rsidR="00D604C8">
              <w:t xml:space="preserve"> projevujícímu se bolestí</w:t>
            </w:r>
          </w:p>
        </w:tc>
      </w:tr>
      <w:tr w:rsidR="00A10698" w:rsidRPr="001B6B0E" w:rsidTr="008350F7">
        <w:tc>
          <w:tcPr>
            <w:tcW w:w="9204" w:type="dxa"/>
          </w:tcPr>
          <w:p w:rsidR="00A10698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Pokyn týkající se okamžité lékařské pomoci a zvláštního ošetření</w:t>
            </w:r>
          </w:p>
          <w:p w:rsidR="00A10698" w:rsidRPr="001B6B0E" w:rsidRDefault="00A10698" w:rsidP="008350F7">
            <w:pPr>
              <w:pStyle w:val="Odstavecseseznamem"/>
              <w:ind w:left="792"/>
            </w:pPr>
            <w:r>
              <w:t>Léčba je symptomatická.</w:t>
            </w:r>
          </w:p>
        </w:tc>
      </w:tr>
    </w:tbl>
    <w:p w:rsidR="0046245D" w:rsidRDefault="004624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9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OPATŘENÍ PRO HAŠENÍ POŽÁRU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989" w:rsidTr="00AD2989">
        <w:tc>
          <w:tcPr>
            <w:tcW w:w="9212" w:type="dxa"/>
          </w:tcPr>
          <w:p w:rsidR="00AD2989" w:rsidRPr="001B6B0E" w:rsidRDefault="00AD2989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Hasiva</w:t>
            </w:r>
          </w:p>
          <w:p w:rsidR="0032192B" w:rsidRDefault="0032192B" w:rsidP="0032192B">
            <w:pPr>
              <w:pStyle w:val="Odstavecseseznamem"/>
              <w:ind w:left="792"/>
              <w:rPr>
                <w:b/>
              </w:rPr>
            </w:pPr>
            <w:r>
              <w:rPr>
                <w:b/>
              </w:rPr>
              <w:t xml:space="preserve">Vhodná: </w:t>
            </w:r>
            <w:r w:rsidRPr="0032192B">
              <w:t>samotná látka není hořlavá – hasiva přizpůsobit látkám vyskytujících se v okolí. Při hašení vodou, vzniká louh. Odtékající hasební voda musí být pod kontrolou (měření pH) dle výsledků měření neutralizovat, či ředi</w:t>
            </w:r>
            <w:r>
              <w:t>t. Je možné použít suchá hasiva</w:t>
            </w:r>
          </w:p>
          <w:p w:rsidR="001B6B0E" w:rsidRPr="00CC1085" w:rsidRDefault="001B6B0E" w:rsidP="0032192B">
            <w:pPr>
              <w:pStyle w:val="Odstavecseseznamem"/>
              <w:ind w:left="792"/>
            </w:pPr>
            <w:r>
              <w:rPr>
                <w:b/>
              </w:rPr>
              <w:t xml:space="preserve">Nevhodná: </w:t>
            </w:r>
            <w:r w:rsidR="0032192B">
              <w:t>nejsou známa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Zvláštní nebezpečnost vyplývající z látky nebo směsi</w:t>
            </w:r>
          </w:p>
          <w:p w:rsidR="001B6B0E" w:rsidRPr="00B7327E" w:rsidRDefault="00E7451F" w:rsidP="00CC1085">
            <w:pPr>
              <w:pStyle w:val="Odstavecseseznamem"/>
              <w:ind w:left="792"/>
            </w:pPr>
            <w:r w:rsidRPr="00E7451F">
              <w:t>oxidy sodíku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Pokyny pro hasiče</w:t>
            </w:r>
          </w:p>
          <w:p w:rsidR="001B6B0E" w:rsidRPr="001B6B0E" w:rsidRDefault="00D604C8" w:rsidP="0038791B">
            <w:pPr>
              <w:pStyle w:val="Odstavecseseznamem"/>
              <w:ind w:left="792"/>
            </w:pPr>
            <w:r w:rsidRPr="00D604C8">
              <w:t>Ochranný štít na obličej, bezpečnostní brýle, ochranné rukavice, protichemický oděv, respirátor čistící vzduch (s vlákny aktivního uhlí), možné i použít dýchací přístroj.</w:t>
            </w:r>
          </w:p>
        </w:tc>
      </w:tr>
    </w:tbl>
    <w:p w:rsidR="0038791B" w:rsidRDefault="0038791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491"/>
      </w:tblGrid>
      <w:tr w:rsidR="00121FB0" w:rsidRPr="008F69EE" w:rsidTr="001801AE">
        <w:tc>
          <w:tcPr>
            <w:tcW w:w="429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1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OPATŘENÍ V PŘÍPADĚ NÁHODNÉHO ÚNIKU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osob, ochranné prostředky a nouzové postupy</w:t>
            </w:r>
          </w:p>
          <w:p w:rsidR="001B6B0E" w:rsidRPr="001B6B0E" w:rsidRDefault="00CC1085" w:rsidP="00E7451F">
            <w:pPr>
              <w:pStyle w:val="Odstavecseseznamem"/>
              <w:ind w:left="792"/>
            </w:pPr>
            <w:r>
              <w:t xml:space="preserve">Používat ochranné prostředky a pomůcky. </w:t>
            </w:r>
            <w:r w:rsidR="001B6B0E" w:rsidRPr="001B6B0E">
              <w:t>Zamezit</w:t>
            </w:r>
            <w:r w:rsidR="0046245D">
              <w:t xml:space="preserve"> přímému</w:t>
            </w:r>
            <w:r w:rsidR="001B6B0E" w:rsidRPr="001B6B0E">
              <w:t xml:space="preserve"> kontaktu</w:t>
            </w:r>
            <w:r w:rsidR="0046245D">
              <w:t xml:space="preserve"> </w:t>
            </w:r>
            <w:r w:rsidR="001B6B0E" w:rsidRPr="001B6B0E">
              <w:t>s kůží a očima</w:t>
            </w:r>
            <w:r w:rsidR="00FA28CD">
              <w:t xml:space="preserve">. </w:t>
            </w:r>
            <w:r w:rsidR="00FA28CD" w:rsidRPr="00FA28CD">
              <w:t xml:space="preserve">Oblast havárie uzavřít a označit. Nepřipustit volný pohyb nepovolaným osobám. 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životního prostředí</w:t>
            </w:r>
          </w:p>
          <w:p w:rsidR="001B6B0E" w:rsidRPr="001B6B0E" w:rsidRDefault="001B6B0E" w:rsidP="00CC1085">
            <w:pPr>
              <w:pStyle w:val="Odstavecseseznamem"/>
              <w:ind w:left="792"/>
            </w:pPr>
            <w:r w:rsidRPr="001B6B0E">
              <w:t xml:space="preserve">Zabránit úniku do půdy. Zabránit úniku do kanalizace, </w:t>
            </w:r>
            <w:r w:rsidR="00CC1085">
              <w:t>povrchových a podzemních vod</w:t>
            </w:r>
            <w:r w:rsidRPr="001B6B0E">
              <w:t>.</w:t>
            </w:r>
            <w:r w:rsidR="001858D3">
              <w:t xml:space="preserve"> </w:t>
            </w:r>
            <w:r w:rsidR="001858D3" w:rsidRPr="001858D3">
              <w:t>Při průniku látky do v</w:t>
            </w:r>
            <w:r w:rsidR="0046245D">
              <w:t xml:space="preserve">ody informovat odběratele vody </w:t>
            </w:r>
            <w:r w:rsidR="001858D3" w:rsidRPr="001858D3">
              <w:t>a zastavit její používání.</w:t>
            </w:r>
            <w:r w:rsidR="0046245D">
              <w:t xml:space="preserve"> </w:t>
            </w:r>
            <w:r w:rsidR="001858D3" w:rsidRPr="001858D3">
              <w:t>Při úniku většího množství přípravku informovat</w:t>
            </w:r>
            <w:r w:rsidR="001858D3">
              <w:t xml:space="preserve"> </w:t>
            </w:r>
            <w:r w:rsidR="001858D3" w:rsidRPr="001858D3">
              <w:t>OÚ, referát životního prostředí</w:t>
            </w:r>
            <w:r w:rsidR="001858D3">
              <w:t>.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Metody a materiál pro omezení úniku a pro čištění</w:t>
            </w:r>
          </w:p>
          <w:p w:rsidR="001858D3" w:rsidRPr="001B6B0E" w:rsidRDefault="0032192B" w:rsidP="001801AE">
            <w:pPr>
              <w:pStyle w:val="Odstavecseseznamem"/>
              <w:ind w:left="792"/>
            </w:pPr>
            <w:r w:rsidRPr="0032192B">
              <w:t>Opatrně provést mechanický úklid, shromáždit do krytých kontejnerů a nechat zlikvidovat specializovanou firmou. Zabránit kontaminaci povrchových a podzemních vod a půdy. Nesmí se dostat do kanalizace. Neutralizace vodných roztoků kyselinou octovou apod.</w:t>
            </w:r>
          </w:p>
        </w:tc>
      </w:tr>
      <w:tr w:rsidR="00FE480A" w:rsidTr="001801AE">
        <w:tc>
          <w:tcPr>
            <w:tcW w:w="5000" w:type="pct"/>
          </w:tcPr>
          <w:p w:rsidR="00FE480A" w:rsidRPr="009A327D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Odkaz na jiné oddíly</w:t>
            </w:r>
          </w:p>
          <w:p w:rsidR="009A327D" w:rsidRPr="009A327D" w:rsidRDefault="00FA28CD" w:rsidP="009A327D">
            <w:pPr>
              <w:pStyle w:val="Odstavecseseznamem"/>
              <w:ind w:left="792"/>
            </w:pPr>
            <w:r>
              <w:t>viz oddíly 8 a 13</w:t>
            </w:r>
          </w:p>
        </w:tc>
      </w:tr>
    </w:tbl>
    <w:p w:rsidR="00E57C93" w:rsidRDefault="00E57C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1F2885">
              <w:rPr>
                <w:b/>
              </w:rPr>
              <w:t>ZACHÁZENÍ A SKLADOVÁNÍ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Opatření pro bezpečné zacházení</w:t>
            </w:r>
          </w:p>
          <w:p w:rsidR="00C05641" w:rsidRPr="00C05641" w:rsidRDefault="00F56BAA" w:rsidP="00932821">
            <w:pPr>
              <w:pStyle w:val="Odstavecseseznamem"/>
              <w:ind w:left="792"/>
            </w:pPr>
            <w:r>
              <w:t xml:space="preserve">Používejte </w:t>
            </w:r>
            <w:r w:rsidR="0076262D">
              <w:t xml:space="preserve">vhodné </w:t>
            </w:r>
            <w:r>
              <w:t>ochranné pracovní pomůcky.</w:t>
            </w:r>
            <w:r w:rsidR="00FA28CD">
              <w:t xml:space="preserve"> Dodržujte obvyklé předpisy pro práci s chemikáliemi. Zabezpečte</w:t>
            </w:r>
            <w:r w:rsidR="00FA28CD" w:rsidRPr="00FA28CD">
              <w:t xml:space="preserve"> dobré větrání a odsávání na pracovišti.</w:t>
            </w:r>
            <w:r w:rsidR="00FA28CD">
              <w:t xml:space="preserve"> Vyhněte</w:t>
            </w:r>
            <w:r w:rsidR="00FA28CD" w:rsidRPr="00FA28CD">
              <w:t xml:space="preserve"> se přímém</w:t>
            </w:r>
            <w:r w:rsidR="00FA28CD">
              <w:t xml:space="preserve">u kontaktu </w:t>
            </w:r>
            <w:r w:rsidR="007C69DB">
              <w:t>s kůží a očima</w:t>
            </w:r>
            <w:r w:rsidR="00FA28CD">
              <w:t>.</w:t>
            </w:r>
            <w:r w:rsidR="00FA28CD" w:rsidRPr="00FA28CD">
              <w:t xml:space="preserve"> P</w:t>
            </w:r>
            <w:r w:rsidR="007C69DB">
              <w:t>ři práci nejíst, nepít nekouřit.</w:t>
            </w:r>
            <w:r w:rsidR="00FA28CD" w:rsidRPr="00FA28CD">
              <w:t xml:space="preserve"> </w:t>
            </w:r>
            <w:r w:rsidR="007C69DB">
              <w:t>D</w:t>
            </w:r>
            <w:r w:rsidR="00FA28CD">
              <w:t xml:space="preserve">održujte zásady osobní hygieny. </w:t>
            </w:r>
          </w:p>
        </w:tc>
      </w:tr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Podmínky pro bezpečné skladování látek a směsí včetně neslučitelných látek a směsí</w:t>
            </w:r>
          </w:p>
          <w:p w:rsidR="00F56BAA" w:rsidRDefault="00FA28CD" w:rsidP="00C05641">
            <w:pPr>
              <w:pStyle w:val="Odstavecseseznamem"/>
              <w:ind w:left="792"/>
            </w:pPr>
            <w:r>
              <w:t>Skladovat při teplotách +5 až +</w:t>
            </w:r>
            <w:r w:rsidR="001801AE">
              <w:t>25</w:t>
            </w:r>
            <w:r w:rsidR="00F56BAA">
              <w:t xml:space="preserve"> °C v suchých, dobře větraných prostorách, chráněných před povětrnostními vlivy, přímým slunečním zářením v originálních, dobře uzavřených obalech</w:t>
            </w:r>
            <w:r w:rsidR="0046245D">
              <w:t>,</w:t>
            </w:r>
            <w:r w:rsidR="00F56BAA">
              <w:t xml:space="preserve"> na místě nepřístupném dětem</w:t>
            </w:r>
            <w:r w:rsidR="00C05641" w:rsidRPr="00C05641">
              <w:t>.</w:t>
            </w:r>
            <w:r w:rsidR="00C05641">
              <w:t xml:space="preserve"> </w:t>
            </w:r>
          </w:p>
          <w:p w:rsidR="00F56BAA" w:rsidRDefault="00F56BAA" w:rsidP="00C05641">
            <w:pPr>
              <w:pStyle w:val="Odstavecseseznamem"/>
              <w:ind w:left="792"/>
            </w:pPr>
            <w:r>
              <w:t>Přípravek skladujte odděleně od potravin, nápojů a krmiv.</w:t>
            </w:r>
            <w:r w:rsidR="00CC1085">
              <w:t xml:space="preserve"> </w:t>
            </w:r>
          </w:p>
          <w:p w:rsidR="00405694" w:rsidRDefault="00C05641" w:rsidP="00C05641">
            <w:pPr>
              <w:pStyle w:val="Odstavecseseznamem"/>
              <w:ind w:left="792"/>
            </w:pPr>
            <w:r w:rsidRPr="00405694">
              <w:rPr>
                <w:b/>
              </w:rPr>
              <w:t>Vhodný obalový materiál</w:t>
            </w:r>
            <w:r w:rsidRPr="00C05641">
              <w:t>:</w:t>
            </w:r>
            <w:r w:rsidR="00FA28CD">
              <w:t xml:space="preserve"> </w:t>
            </w:r>
            <w:r w:rsidR="0075688D">
              <w:t>nespecifikováno</w:t>
            </w:r>
          </w:p>
          <w:p w:rsidR="00C05641" w:rsidRPr="00C05641" w:rsidRDefault="00405694" w:rsidP="0032192B">
            <w:pPr>
              <w:pStyle w:val="Odstavecseseznamem"/>
              <w:ind w:left="792"/>
            </w:pPr>
            <w:r w:rsidRPr="00405694">
              <w:rPr>
                <w:b/>
              </w:rPr>
              <w:t>N</w:t>
            </w:r>
            <w:r w:rsidR="00C05641" w:rsidRPr="00405694">
              <w:rPr>
                <w:b/>
              </w:rPr>
              <w:t>evhodný obalový materiál</w:t>
            </w:r>
            <w:r w:rsidR="00C05641" w:rsidRPr="00C05641">
              <w:t xml:space="preserve">: </w:t>
            </w:r>
            <w:r w:rsidR="0032192B">
              <w:t>hliník, zinek</w:t>
            </w:r>
          </w:p>
        </w:tc>
      </w:tr>
      <w:tr w:rsidR="00FE480A" w:rsidTr="00FE480A">
        <w:tc>
          <w:tcPr>
            <w:tcW w:w="9212" w:type="dxa"/>
          </w:tcPr>
          <w:p w:rsidR="00FE480A" w:rsidRPr="00C05641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rFonts w:cs="EUAlbertina"/>
                <w:b/>
                <w:color w:val="000000"/>
                <w:szCs w:val="17"/>
                <w:u w:val="single"/>
              </w:rPr>
              <w:t>Specifické konečné/specifická konečná použití</w:t>
            </w:r>
          </w:p>
          <w:p w:rsidR="00C05641" w:rsidRPr="00C05641" w:rsidRDefault="0075688D" w:rsidP="00C05641">
            <w:pPr>
              <w:pStyle w:val="Odstavecseseznamem"/>
              <w:ind w:left="792"/>
            </w:pPr>
            <w:r>
              <w:rPr>
                <w:rFonts w:cs="EUAlbertina"/>
                <w:color w:val="000000"/>
                <w:szCs w:val="17"/>
              </w:rPr>
              <w:t>nespecifikováno</w:t>
            </w:r>
          </w:p>
        </w:tc>
      </w:tr>
    </w:tbl>
    <w:p w:rsidR="002A4E51" w:rsidRDefault="002A4E51"/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89"/>
        <w:gridCol w:w="8499"/>
      </w:tblGrid>
      <w:tr w:rsidR="00121FB0" w:rsidRPr="008F69EE" w:rsidTr="001801AE"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 w:right="-9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38" w:hanging="223"/>
              <w:rPr>
                <w:b/>
              </w:rPr>
            </w:pPr>
            <w:r w:rsidRPr="001F2885">
              <w:rPr>
                <w:b/>
              </w:rPr>
              <w:t>OMEZOVÁNÍ EXPOZICE/OSOBNÍ OCHRANÉ PROSTŘEDKY</w:t>
            </w:r>
          </w:p>
        </w:tc>
      </w:tr>
    </w:tbl>
    <w:tbl>
      <w:tblPr>
        <w:tblStyle w:val="Mkatabulky"/>
        <w:tblW w:w="0" w:type="auto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510"/>
      </w:tblGrid>
      <w:tr w:rsidR="00FE480A" w:rsidTr="00AF16CF">
        <w:tc>
          <w:tcPr>
            <w:tcW w:w="9288" w:type="dxa"/>
            <w:gridSpan w:val="3"/>
            <w:tcBorders>
              <w:top w:val="single" w:sz="4" w:space="0" w:color="000000" w:themeColor="text1"/>
              <w:bottom w:val="dotted" w:sz="2" w:space="0" w:color="auto"/>
            </w:tcBorders>
          </w:tcPr>
          <w:p w:rsidR="008C5D79" w:rsidRPr="0038791B" w:rsidRDefault="00FE480A" w:rsidP="0038791B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Kontrolní parametry</w:t>
            </w:r>
            <w:r w:rsidR="0046245D">
              <w:rPr>
                <w:b/>
                <w:u w:val="single"/>
              </w:rPr>
              <w:t xml:space="preserve"> a expoziční limity</w:t>
            </w:r>
          </w:p>
        </w:tc>
      </w:tr>
      <w:tr w:rsidR="00CC1085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2"/>
        </w:trPr>
        <w:tc>
          <w:tcPr>
            <w:tcW w:w="2802" w:type="dxa"/>
            <w:tcBorders>
              <w:top w:val="dotted" w:sz="2" w:space="0" w:color="auto"/>
              <w:left w:val="single" w:sz="4" w:space="0" w:color="000000" w:themeColor="text1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Pr="00FA563A" w:rsidRDefault="00CC1085" w:rsidP="00CC1085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2976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Přípustný expoziční limit </w:t>
            </w:r>
          </w:p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(PEL)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C1085" w:rsidRDefault="00CC1085" w:rsidP="00CC1085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Nejvyšší přípustná koncentrace (NPK-P)</w:t>
            </w:r>
          </w:p>
        </w:tc>
      </w:tr>
      <w:tr w:rsidR="00CC1085" w:rsidRPr="00112744" w:rsidTr="00CC1085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7"/>
        </w:trPr>
        <w:tc>
          <w:tcPr>
            <w:tcW w:w="2802" w:type="dxa"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CC1085" w:rsidRPr="00741C19" w:rsidRDefault="0032192B" w:rsidP="00E7451F">
            <w:pPr>
              <w:jc w:val="center"/>
            </w:pPr>
            <w:r>
              <w:t>hydroxid sodný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CC1085" w:rsidRPr="00CC1085" w:rsidRDefault="0032192B" w:rsidP="00CC1085">
            <w:pPr>
              <w:pStyle w:val="Odstavecseseznamem"/>
              <w:ind w:left="-83"/>
              <w:jc w:val="center"/>
            </w:pPr>
            <w:r>
              <w:t>1</w:t>
            </w:r>
            <w:r w:rsidR="00CC1085">
              <w:t xml:space="preserve"> mg/m</w:t>
            </w:r>
            <w:r w:rsidR="00CC1085">
              <w:rPr>
                <w:vertAlign w:val="superscript"/>
              </w:rPr>
              <w:t>3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C1085" w:rsidRPr="00CC1085" w:rsidRDefault="0032192B" w:rsidP="00CC1085">
            <w:pPr>
              <w:pStyle w:val="Odstavecseseznamem"/>
              <w:ind w:left="-83"/>
              <w:jc w:val="center"/>
            </w:pPr>
            <w:r>
              <w:t>2</w:t>
            </w:r>
            <w:r w:rsidR="00CC1085">
              <w:t xml:space="preserve"> mg/m</w:t>
            </w:r>
            <w:r w:rsidR="00CC1085">
              <w:rPr>
                <w:vertAlign w:val="superscript"/>
              </w:rPr>
              <w:t>3</w:t>
            </w:r>
          </w:p>
        </w:tc>
      </w:tr>
      <w:tr w:rsidR="00FE480A" w:rsidTr="00AF16CF">
        <w:tc>
          <w:tcPr>
            <w:tcW w:w="9288" w:type="dxa"/>
            <w:gridSpan w:val="3"/>
            <w:tcBorders>
              <w:top w:val="single" w:sz="4" w:space="0" w:color="000000" w:themeColor="text1"/>
            </w:tcBorders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Omezování expozice</w:t>
            </w:r>
          </w:p>
          <w:p w:rsidR="00B7327E" w:rsidRPr="00B7327E" w:rsidRDefault="00C05641" w:rsidP="00A10698">
            <w:pPr>
              <w:pStyle w:val="Odstavecseseznamem"/>
              <w:numPr>
                <w:ilvl w:val="2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Vhodné technické kontroly:</w:t>
            </w:r>
            <w:r>
              <w:t xml:space="preserve"> </w:t>
            </w:r>
          </w:p>
          <w:p w:rsidR="00C05641" w:rsidRPr="00C05641" w:rsidRDefault="00FA28CD" w:rsidP="00B7327E">
            <w:pPr>
              <w:pStyle w:val="Odstavecseseznamem"/>
              <w:ind w:left="1224"/>
              <w:rPr>
                <w:b/>
                <w:u w:val="single"/>
              </w:rPr>
            </w:pPr>
            <w:r>
              <w:t>nejsou stanoveny</w:t>
            </w:r>
          </w:p>
          <w:p w:rsidR="00B7327E" w:rsidRPr="00B7327E" w:rsidRDefault="00C05641" w:rsidP="00E57C93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225" w:hanging="505"/>
              <w:rPr>
                <w:rFonts w:cs="CenturyGothic"/>
              </w:rPr>
            </w:pPr>
            <w:r w:rsidRPr="0077280E">
              <w:rPr>
                <w:b/>
              </w:rPr>
              <w:t>Individuální ochranná opatření včetně</w:t>
            </w:r>
            <w:r w:rsidR="0077280E" w:rsidRPr="0077280E">
              <w:rPr>
                <w:b/>
              </w:rPr>
              <w:t xml:space="preserve"> osobních ochranných prostředků: </w:t>
            </w:r>
          </w:p>
          <w:p w:rsidR="00C05641" w:rsidRDefault="00B7327E" w:rsidP="00E57C93">
            <w:pPr>
              <w:pStyle w:val="Odstavecseseznamem"/>
              <w:autoSpaceDE w:val="0"/>
              <w:autoSpaceDN w:val="0"/>
              <w:adjustRightInd w:val="0"/>
              <w:ind w:left="1225"/>
              <w:contextualSpacing w:val="0"/>
              <w:rPr>
                <w:rFonts w:cs="CenturyGothic"/>
              </w:rPr>
            </w:pPr>
            <w:r w:rsidRPr="00C05641">
              <w:t>Na pracovišti by měla být fontánka na vyplachování očí a</w:t>
            </w:r>
            <w:r>
              <w:t> </w:t>
            </w:r>
            <w:r w:rsidRPr="00C05641">
              <w:t>sprcha.</w:t>
            </w:r>
            <w:r>
              <w:t xml:space="preserve"> </w:t>
            </w:r>
            <w:r w:rsidR="0077280E" w:rsidRPr="0077280E">
              <w:rPr>
                <w:rFonts w:cs="CenturyGothic"/>
              </w:rPr>
              <w:t>Uchovávat odděleně od potravin, nápojů a krmiv. Před přestávkou a po práci umýt ruce</w:t>
            </w:r>
            <w:r w:rsidR="008C5D79">
              <w:rPr>
                <w:rFonts w:cs="CenturyGothic"/>
              </w:rPr>
              <w:t xml:space="preserve"> teplou vodou a mýdlem</w:t>
            </w:r>
            <w:r w:rsidR="0077280E" w:rsidRPr="0077280E">
              <w:rPr>
                <w:rFonts w:cs="CenturyGothic"/>
              </w:rPr>
              <w:t xml:space="preserve">. </w:t>
            </w:r>
            <w:r w:rsidR="00F56BAA">
              <w:rPr>
                <w:rFonts w:cs="CenturyGothic"/>
              </w:rPr>
              <w:t>Zabránit požití a styku s kůží a očima. Při práci nejíst, nepít, nekouřit. Zašpiněné a potřísněné části oděvu svléknout. Pokožku po práci ošetřit vhodnými reparačními prostředky.</w:t>
            </w:r>
          </w:p>
          <w:p w:rsidR="008C5D79" w:rsidRDefault="0077280E" w:rsidP="00E57C93">
            <w:pPr>
              <w:pStyle w:val="Odstavecseseznamem"/>
              <w:ind w:left="1224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očí a obličeje</w:t>
            </w:r>
            <w:r w:rsidRPr="0077280E">
              <w:rPr>
                <w:rFonts w:cs="CenturyGothic"/>
              </w:rPr>
              <w:t xml:space="preserve">: </w:t>
            </w:r>
            <w:r w:rsidR="00E7451F">
              <w:rPr>
                <w:rFonts w:cs="CenturyGothic"/>
              </w:rPr>
              <w:t>ochranné brýle nebo obličejový štít</w:t>
            </w:r>
          </w:p>
          <w:p w:rsidR="008C5D79" w:rsidRPr="008C5D79" w:rsidRDefault="0077280E" w:rsidP="0038791B">
            <w:pPr>
              <w:pStyle w:val="Odstavecseseznamem"/>
              <w:ind w:left="1225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kůže, rukou</w:t>
            </w:r>
            <w:r w:rsidRPr="0077280E">
              <w:rPr>
                <w:rFonts w:cs="CenturyGothic"/>
              </w:rPr>
              <w:t xml:space="preserve">: ochranný pracovní oděv </w:t>
            </w:r>
            <w:r w:rsidR="0032192B">
              <w:rPr>
                <w:rFonts w:cs="CenturyGothic"/>
              </w:rPr>
              <w:t xml:space="preserve">odolný žíravinám </w:t>
            </w:r>
            <w:r w:rsidR="008C5D79">
              <w:rPr>
                <w:rFonts w:cs="CenturyGothic"/>
              </w:rPr>
              <w:t xml:space="preserve">a </w:t>
            </w:r>
            <w:r w:rsidR="0038791B">
              <w:rPr>
                <w:rFonts w:cs="CenturyGothic"/>
              </w:rPr>
              <w:t xml:space="preserve">nepropustné rukavice </w:t>
            </w:r>
            <w:r w:rsidR="0032192B">
              <w:rPr>
                <w:rFonts w:cs="CenturyGothic"/>
              </w:rPr>
              <w:t>(pryžové)</w:t>
            </w:r>
          </w:p>
          <w:p w:rsidR="0077280E" w:rsidRDefault="0077280E" w:rsidP="00E57C93">
            <w:pPr>
              <w:pStyle w:val="Odstavecseseznamem"/>
              <w:ind w:left="1224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dýchacích cest</w:t>
            </w:r>
            <w:r w:rsidRPr="0077280E">
              <w:rPr>
                <w:rFonts w:cs="CenturyGothic"/>
              </w:rPr>
              <w:t xml:space="preserve">: </w:t>
            </w:r>
            <w:r w:rsidR="008C5D79" w:rsidRPr="008C5D79">
              <w:rPr>
                <w:rFonts w:cs="CenturyGothic"/>
              </w:rPr>
              <w:t>Nen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nutn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, jestli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e koncentrace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ekro</w:t>
            </w:r>
            <w:r w:rsidR="008C5D79" w:rsidRPr="008C5D79">
              <w:rPr>
                <w:rFonts w:cs="CenturyGothic" w:hint="eastAsia"/>
              </w:rPr>
              <w:t>čí</w:t>
            </w:r>
            <w:r w:rsidR="008C5D79" w:rsidRPr="008C5D79">
              <w:rPr>
                <w:rFonts w:cs="CenturyGothic"/>
              </w:rPr>
              <w:t xml:space="preserve"> NPK-P,</w:t>
            </w:r>
            <w:r w:rsidR="008C5D79">
              <w:rPr>
                <w:rFonts w:cs="CenturyGothic"/>
              </w:rPr>
              <w:t xml:space="preserve"> </w:t>
            </w:r>
            <w:r w:rsidR="008C5D79" w:rsidRPr="008C5D79">
              <w:rPr>
                <w:rFonts w:cs="CenturyGothic"/>
              </w:rPr>
              <w:t>jinak respir</w:t>
            </w:r>
            <w:r w:rsidR="008C5D79" w:rsidRPr="008C5D79">
              <w:rPr>
                <w:rFonts w:cs="CenturyGothic" w:hint="eastAsia"/>
              </w:rPr>
              <w:t>á</w:t>
            </w:r>
            <w:r w:rsidR="008C5D79">
              <w:rPr>
                <w:rFonts w:cs="CenturyGothic"/>
              </w:rPr>
              <w:t>tor (</w:t>
            </w:r>
            <w:r w:rsidR="008C5D79" w:rsidRPr="008C5D79">
              <w:rPr>
                <w:rFonts w:cs="CenturyGothic"/>
              </w:rPr>
              <w:t>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i b</w:t>
            </w:r>
            <w:r w:rsidR="008C5D79" w:rsidRPr="008C5D79">
              <w:rPr>
                <w:rFonts w:cs="CenturyGothic" w:hint="eastAsia"/>
              </w:rPr>
              <w:t>ěž</w:t>
            </w:r>
            <w:r w:rsidR="008C5D79" w:rsidRPr="008C5D79">
              <w:rPr>
                <w:rFonts w:cs="CenturyGothic"/>
              </w:rPr>
              <w:t>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m pou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it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v</w:t>
            </w:r>
            <w:r w:rsidR="008C5D79" w:rsidRPr="008C5D79">
              <w:rPr>
                <w:rFonts w:cs="CenturyGothic" w:hint="eastAsia"/>
              </w:rPr>
              <w:t>ý</w:t>
            </w:r>
            <w:r w:rsidR="008C5D79" w:rsidRPr="008C5D79">
              <w:rPr>
                <w:rFonts w:cs="CenturyGothic"/>
              </w:rPr>
              <w:t>robku se expozice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edpokl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d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).</w:t>
            </w:r>
          </w:p>
          <w:p w:rsidR="008C5D79" w:rsidRDefault="008C5D79" w:rsidP="00E57C93">
            <w:pPr>
              <w:pStyle w:val="Odstavecseseznamem"/>
              <w:ind w:left="1224"/>
              <w:rPr>
                <w:rFonts w:cs="CenturyGothic"/>
              </w:rPr>
            </w:pPr>
          </w:p>
          <w:p w:rsidR="0077280E" w:rsidRPr="0077280E" w:rsidRDefault="0077280E" w:rsidP="00BA4896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cs="CenturyGothic"/>
              </w:rPr>
            </w:pPr>
            <w:r w:rsidRPr="0077280E">
              <w:rPr>
                <w:rFonts w:cs="CenturyGothic"/>
                <w:b/>
              </w:rPr>
              <w:t>Omezování expozice životního prostředí:</w:t>
            </w:r>
            <w:r w:rsidRPr="0077280E">
              <w:rPr>
                <w:rFonts w:cs="CenturyGothic"/>
              </w:rPr>
              <w:t xml:space="preserve"> </w:t>
            </w:r>
            <w:r w:rsidR="00F56BAA">
              <w:rPr>
                <w:rFonts w:cs="CenturyGothic"/>
              </w:rPr>
              <w:t xml:space="preserve">Dbát obvyklých opatření na ochranu zdraví při práci s chemickými látkami. </w:t>
            </w:r>
            <w:r w:rsidR="00FA28CD">
              <w:rPr>
                <w:rFonts w:cs="CenturyGothic"/>
              </w:rPr>
              <w:t xml:space="preserve">Zabránit úniku do životního prostředí, </w:t>
            </w:r>
            <w:r w:rsidR="00771A46">
              <w:rPr>
                <w:rFonts w:cs="CenturyGothic"/>
              </w:rPr>
              <w:t xml:space="preserve">podzemních a povrchových </w:t>
            </w:r>
            <w:r w:rsidR="00FA28CD">
              <w:rPr>
                <w:rFonts w:cs="CenturyGothic"/>
              </w:rPr>
              <w:t>vod a kanalizace.</w:t>
            </w:r>
            <w:r w:rsidR="00771A46">
              <w:rPr>
                <w:rFonts w:cs="CenturyGothic"/>
              </w:rPr>
              <w:t xml:space="preserve"> </w:t>
            </w:r>
            <w:bookmarkStart w:id="0" w:name="_GoBack"/>
            <w:bookmarkEnd w:id="0"/>
          </w:p>
        </w:tc>
      </w:tr>
    </w:tbl>
    <w:p w:rsidR="0032192B" w:rsidRDefault="0032192B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94" w:hanging="284"/>
              <w:rPr>
                <w:b/>
              </w:rPr>
            </w:pPr>
            <w:r w:rsidRPr="001F2885">
              <w:rPr>
                <w:b/>
              </w:rPr>
              <w:t>FYZIKÁLNÍ A CHEMICKÉ VLASTNOSTI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40"/>
        <w:gridCol w:w="4748"/>
      </w:tblGrid>
      <w:tr w:rsidR="00FE480A" w:rsidTr="001801AE">
        <w:tc>
          <w:tcPr>
            <w:tcW w:w="5000" w:type="pct"/>
            <w:gridSpan w:val="2"/>
            <w:tcBorders>
              <w:bottom w:val="dotted" w:sz="2" w:space="0" w:color="auto"/>
            </w:tcBorders>
          </w:tcPr>
          <w:p w:rsidR="005A27DB" w:rsidRPr="005A27DB" w:rsidRDefault="00FE480A" w:rsidP="005A27DB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Informace o základních fyzikálních a chemických vlastnostech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V</w:t>
            </w:r>
            <w:r w:rsidRPr="005A27DB">
              <w:t>zhled</w:t>
            </w:r>
            <w:r>
              <w:t>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32192B" w:rsidP="00E7451F">
            <w:pPr>
              <w:pStyle w:val="Odstavecseseznamem"/>
              <w:ind w:left="33"/>
            </w:pPr>
            <w:r>
              <w:t>pevné pecky, perličky nebo šupiny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Zápach/vůně: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32192B" w:rsidP="00E7451F">
            <w:pPr>
              <w:pStyle w:val="Odstavecseseznamem"/>
              <w:ind w:left="33"/>
            </w:pPr>
            <w:r>
              <w:t>bez zápachu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6B2CAB" w:rsidRDefault="005A27DB" w:rsidP="005A27DB">
            <w:pPr>
              <w:pStyle w:val="Odstavecseseznamem"/>
              <w:ind w:left="792"/>
            </w:pPr>
            <w:r w:rsidRPr="006B2CAB">
              <w:t>Hodnota pH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6B2CAB" w:rsidRDefault="003C61F4" w:rsidP="00925836">
            <w:pPr>
              <w:pStyle w:val="Odstavecseseznamem"/>
              <w:ind w:left="33"/>
            </w:pPr>
            <w:r w:rsidRPr="006B2CAB">
              <w:t xml:space="preserve">cca </w:t>
            </w:r>
            <w:r w:rsidR="00E7451F">
              <w:t>13</w:t>
            </w:r>
            <w:r w:rsidR="00925836" w:rsidRPr="006B2CAB">
              <w:t>,5</w:t>
            </w:r>
            <w:r w:rsidR="0032192B">
              <w:t xml:space="preserve"> (50% roztok)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Teplota tání/tuhnutí: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32192B" w:rsidP="005A27DB">
            <w:pPr>
              <w:pStyle w:val="Odstavecseseznamem"/>
              <w:ind w:left="33"/>
            </w:pPr>
            <w:r>
              <w:t>320 °C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(rozmezí teplot) varu: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32192B">
            <w:r>
              <w:t>1390 °C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Bod vzplanutí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Rychlost odpařování: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Hořlavost: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Pr="003C61F4" w:rsidRDefault="00A347F5">
            <w:pPr>
              <w:rPr>
                <w:sz w:val="21"/>
                <w:szCs w:val="21"/>
              </w:rPr>
            </w:pPr>
            <w:r w:rsidRPr="0038791B">
              <w:rPr>
                <w:szCs w:val="21"/>
              </w:rPr>
              <w:t>nestanovena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Meze hořlavosti/výbušnosti: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Tlak par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Hustota par: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Relativní hustota: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32192B" w:rsidRDefault="0032192B" w:rsidP="005A27DB">
            <w:pPr>
              <w:pStyle w:val="Odstavecseseznamem"/>
              <w:ind w:left="33"/>
            </w:pPr>
            <w:r>
              <w:t>2120 kg/m</w:t>
            </w:r>
            <w:r w:rsidRPr="0032192B">
              <w:rPr>
                <w:vertAlign w:val="superscript"/>
              </w:rPr>
              <w:t>3</w:t>
            </w:r>
            <w:r>
              <w:t xml:space="preserve"> (při 20 °C)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Rozpustnost: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32192B" w:rsidRDefault="0032192B" w:rsidP="0032192B">
            <w:pPr>
              <w:pStyle w:val="Odstavecseseznamem"/>
              <w:ind w:left="33"/>
            </w:pPr>
            <w:r>
              <w:t>109 g/100 ml (při 20 °C)</w:t>
            </w:r>
          </w:p>
          <w:p w:rsidR="005A27DB" w:rsidRPr="005A27DB" w:rsidRDefault="0032192B" w:rsidP="0032192B">
            <w:pPr>
              <w:pStyle w:val="Odstavecseseznamem"/>
              <w:ind w:left="33"/>
            </w:pPr>
            <w:r>
              <w:t>při rozpouštění dochází k silnému vývinu tepla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Rozdělovací koeficient n-oktanol/voda: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samovznícení: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rozkladu: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A347F5">
            <w:r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Viskozita: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 w:rsidP="00E7451F">
            <w:r w:rsidRPr="00601774">
              <w:t>není k</w:t>
            </w:r>
            <w:r w:rsidR="003C61F4">
              <w:t> </w:t>
            </w:r>
            <w:r w:rsidRPr="00601774">
              <w:t>dispozici</w:t>
            </w:r>
            <w:r w:rsidR="003C61F4">
              <w:t xml:space="preserve"> 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Výbušné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Oxidační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FE480A" w:rsidTr="001801AE">
        <w:tc>
          <w:tcPr>
            <w:tcW w:w="5000" w:type="pct"/>
            <w:gridSpan w:val="2"/>
          </w:tcPr>
          <w:p w:rsidR="00FE480A" w:rsidRPr="00FA28CD" w:rsidRDefault="00FE480A" w:rsidP="0077280E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Další informace</w:t>
            </w:r>
            <w:r w:rsidR="005A27DB">
              <w:rPr>
                <w:b/>
                <w:u w:val="single"/>
              </w:rPr>
              <w:t>:</w:t>
            </w:r>
            <w:r w:rsidR="005A27DB" w:rsidRPr="005A27DB">
              <w:rPr>
                <w:b/>
              </w:rPr>
              <w:t xml:space="preserve"> </w:t>
            </w:r>
          </w:p>
          <w:p w:rsidR="00FA28CD" w:rsidRPr="00FE480A" w:rsidRDefault="00A347F5" w:rsidP="00FA28CD">
            <w:pPr>
              <w:pStyle w:val="Odstavecseseznamem"/>
              <w:ind w:left="792"/>
              <w:rPr>
                <w:b/>
                <w:u w:val="single"/>
              </w:rPr>
            </w:pPr>
            <w:r>
              <w:t>nejsou k dispozici</w:t>
            </w:r>
          </w:p>
        </w:tc>
      </w:tr>
    </w:tbl>
    <w:p w:rsidR="00FA28CD" w:rsidRDefault="00FA28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4" w:hanging="425"/>
              <w:rPr>
                <w:b/>
              </w:rPr>
            </w:pPr>
            <w:r w:rsidRPr="001F2885">
              <w:rPr>
                <w:b/>
              </w:rPr>
              <w:t>STÁLOST A REAKTIVITA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Pr="00031D0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Reaktivita</w:t>
            </w:r>
          </w:p>
          <w:p w:rsidR="00031D0F" w:rsidRPr="00031D0F" w:rsidRDefault="0032192B" w:rsidP="00CF22D8">
            <w:pPr>
              <w:pStyle w:val="Odstavecseseznamem"/>
              <w:tabs>
                <w:tab w:val="left" w:pos="993"/>
              </w:tabs>
              <w:ind w:left="792"/>
            </w:pPr>
            <w:r w:rsidRPr="0032192B">
              <w:t>stabilní za běžných skladovacích podmínek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Chemická stabilita</w:t>
            </w:r>
          </w:p>
          <w:p w:rsidR="004B4E3F" w:rsidRPr="004B4E3F" w:rsidRDefault="00445554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s</w:t>
            </w:r>
            <w:r w:rsidR="004B4E3F" w:rsidRPr="004B4E3F">
              <w:t>tálý za normálních podmínek</w:t>
            </w:r>
            <w:r>
              <w:t xml:space="preserve"> při předepsaném </w:t>
            </w:r>
            <w:r w:rsidR="00586E2C">
              <w:t>skladování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Možnost nebezpečných reakcí</w:t>
            </w:r>
          </w:p>
          <w:p w:rsidR="004B4E3F" w:rsidRDefault="0032192B" w:rsidP="00E7451F">
            <w:pPr>
              <w:pStyle w:val="Odstavecseseznamem"/>
              <w:tabs>
                <w:tab w:val="left" w:pos="993"/>
              </w:tabs>
              <w:ind w:left="792"/>
            </w:pPr>
            <w:r w:rsidRPr="0032192B">
              <w:t>Prudké reakce s kyselinami, nitrily, kovy alkalických zemin v práškové formě, sloučeniny amoniaku, kyanidy, hořčíkem,</w:t>
            </w:r>
            <w:r>
              <w:t xml:space="preserve"> </w:t>
            </w:r>
            <w:r w:rsidRPr="0032192B">
              <w:t>organickými nitrosloučeninami,</w:t>
            </w:r>
            <w:r>
              <w:t xml:space="preserve"> </w:t>
            </w:r>
            <w:r w:rsidRPr="0032192B">
              <w:t>organickými hořlavinami,</w:t>
            </w:r>
            <w:r>
              <w:t xml:space="preserve"> </w:t>
            </w:r>
            <w:r w:rsidRPr="0032192B">
              <w:t>fenoly a oxidovatelnými substancemi.</w:t>
            </w:r>
          </w:p>
          <w:p w:rsidR="0032192B" w:rsidRPr="004B4E3F" w:rsidRDefault="0032192B" w:rsidP="00E7451F">
            <w:pPr>
              <w:pStyle w:val="Odstavecseseznamem"/>
              <w:tabs>
                <w:tab w:val="left" w:pos="993"/>
              </w:tabs>
              <w:ind w:left="792"/>
            </w:pPr>
            <w:r w:rsidRPr="0032192B">
              <w:t>Nevhodné pracovní materiály: kovy,</w:t>
            </w:r>
            <w:r>
              <w:t xml:space="preserve"> </w:t>
            </w:r>
            <w:r w:rsidRPr="0032192B">
              <w:t>kovové slitiny,</w:t>
            </w:r>
            <w:r>
              <w:t xml:space="preserve"> </w:t>
            </w:r>
            <w:r w:rsidRPr="0032192B">
              <w:t>hliník,</w:t>
            </w:r>
            <w:r>
              <w:t xml:space="preserve"> </w:t>
            </w:r>
            <w:r w:rsidRPr="0032192B">
              <w:t>zinek,</w:t>
            </w:r>
            <w:r>
              <w:t xml:space="preserve"> </w:t>
            </w:r>
            <w:r w:rsidRPr="0032192B">
              <w:t>cín,</w:t>
            </w:r>
            <w:r>
              <w:t xml:space="preserve"> různé plasty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Podmínky, kterým je třeba zabránit</w:t>
            </w:r>
          </w:p>
          <w:p w:rsidR="008206A4" w:rsidRPr="008206A4" w:rsidRDefault="0032192B" w:rsidP="00860FA6">
            <w:pPr>
              <w:pStyle w:val="Odstavecseseznamem"/>
              <w:tabs>
                <w:tab w:val="left" w:pos="993"/>
              </w:tabs>
              <w:ind w:left="792"/>
            </w:pPr>
            <w:r w:rsidRPr="0032192B">
              <w:t>zahřívání,</w:t>
            </w:r>
            <w:r>
              <w:t xml:space="preserve"> </w:t>
            </w:r>
            <w:r w:rsidRPr="0032192B">
              <w:t>vlhkost,</w:t>
            </w:r>
            <w:r>
              <w:t xml:space="preserve"> </w:t>
            </w:r>
            <w:r w:rsidRPr="0032192B">
              <w:t>chránit př</w:t>
            </w:r>
            <w:r>
              <w:t>ed přístupem vzduchu a vlhkosti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Neslučitelné materiály</w:t>
            </w:r>
          </w:p>
          <w:p w:rsidR="008206A4" w:rsidRPr="00FA28CD" w:rsidRDefault="0032192B" w:rsidP="0032192B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32192B">
              <w:rPr>
                <w:bCs/>
              </w:rPr>
              <w:t>kovy,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lehk</w:t>
            </w:r>
            <w:r>
              <w:rPr>
                <w:bCs/>
              </w:rPr>
              <w:t>é</w:t>
            </w:r>
            <w:r w:rsidRPr="0032192B">
              <w:rPr>
                <w:bCs/>
              </w:rPr>
              <w:t xml:space="preserve"> kovy,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kyselin</w:t>
            </w:r>
            <w:r>
              <w:rPr>
                <w:bCs/>
              </w:rPr>
              <w:t>y</w:t>
            </w:r>
            <w:r w:rsidRPr="0032192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nitrily,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kovy alkalických zemin v práškové formě,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sloučenin</w:t>
            </w:r>
            <w:r>
              <w:rPr>
                <w:bCs/>
              </w:rPr>
              <w:t xml:space="preserve">y </w:t>
            </w:r>
            <w:proofErr w:type="gramStart"/>
            <w:r w:rsidRPr="0032192B">
              <w:rPr>
                <w:bCs/>
              </w:rPr>
              <w:t>amoniaku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,kyanidy</w:t>
            </w:r>
            <w:proofErr w:type="gramEnd"/>
            <w:r w:rsidRPr="0032192B">
              <w:rPr>
                <w:bCs/>
              </w:rPr>
              <w:t>, hořčík,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organick</w:t>
            </w:r>
            <w:r>
              <w:rPr>
                <w:bCs/>
              </w:rPr>
              <w:t xml:space="preserve">é </w:t>
            </w:r>
            <w:r w:rsidRPr="0032192B">
              <w:rPr>
                <w:bCs/>
              </w:rPr>
              <w:t>nitrosloučenin</w:t>
            </w:r>
            <w:r>
              <w:rPr>
                <w:bCs/>
              </w:rPr>
              <w:t>y</w:t>
            </w:r>
            <w:r w:rsidRPr="0032192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2192B">
              <w:rPr>
                <w:bCs/>
              </w:rPr>
              <w:t>organick</w:t>
            </w:r>
            <w:r>
              <w:rPr>
                <w:bCs/>
              </w:rPr>
              <w:t>é</w:t>
            </w:r>
            <w:r w:rsidRPr="0032192B">
              <w:rPr>
                <w:bCs/>
              </w:rPr>
              <w:t xml:space="preserve"> hořlavin</w:t>
            </w:r>
            <w:r>
              <w:rPr>
                <w:bCs/>
              </w:rPr>
              <w:t xml:space="preserve">y, </w:t>
            </w:r>
            <w:r w:rsidRPr="0032192B">
              <w:rPr>
                <w:bCs/>
              </w:rPr>
              <w:t>fenoly a oxidovateln</w:t>
            </w:r>
            <w:r>
              <w:rPr>
                <w:bCs/>
              </w:rPr>
              <w:t>é látky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Nebezpečné produkty rozkladu</w:t>
            </w:r>
          </w:p>
          <w:p w:rsidR="008206A4" w:rsidRPr="00B7327E" w:rsidRDefault="0032192B" w:rsidP="003C61F4">
            <w:pPr>
              <w:pStyle w:val="Odstavecseseznamem"/>
              <w:tabs>
                <w:tab w:val="left" w:pos="993"/>
              </w:tabs>
              <w:ind w:left="792"/>
            </w:pPr>
            <w:r>
              <w:t>neuvedeny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7786"/>
      </w:tblGrid>
      <w:tr w:rsidR="00121FB0" w:rsidRPr="008F69EE" w:rsidTr="001801AE">
        <w:tc>
          <w:tcPr>
            <w:tcW w:w="428" w:type="pct"/>
            <w:shd w:val="clear" w:color="auto" w:fill="D9D9D9" w:themeFill="background1" w:themeFillShade="D9"/>
          </w:tcPr>
          <w:p w:rsidR="00121FB0" w:rsidRPr="008F69EE" w:rsidRDefault="0032192B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lastRenderedPageBreak/>
              <w:tab/>
            </w:r>
            <w:r w:rsidR="00121FB0">
              <w:rPr>
                <w:b/>
              </w:rPr>
              <w:t>ODDÍL</w:t>
            </w:r>
          </w:p>
        </w:tc>
        <w:tc>
          <w:tcPr>
            <w:tcW w:w="4572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1F2885">
              <w:rPr>
                <w:b/>
              </w:rPr>
              <w:t>TOXIKOLOGICKÉ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79"/>
        <w:gridCol w:w="1347"/>
        <w:gridCol w:w="1703"/>
        <w:gridCol w:w="1061"/>
        <w:gridCol w:w="1598"/>
      </w:tblGrid>
      <w:tr w:rsidR="00FE480A" w:rsidTr="003C0A49">
        <w:trPr>
          <w:trHeight w:val="523"/>
        </w:trPr>
        <w:tc>
          <w:tcPr>
            <w:tcW w:w="5000" w:type="pct"/>
            <w:gridSpan w:val="5"/>
            <w:tcBorders>
              <w:left w:val="single" w:sz="4" w:space="0" w:color="000000" w:themeColor="text1"/>
              <w:bottom w:val="dotted" w:sz="4" w:space="0" w:color="auto"/>
            </w:tcBorders>
          </w:tcPr>
          <w:p w:rsidR="00FE480A" w:rsidRPr="003C61F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Informace o toxikologických účincích</w:t>
            </w:r>
          </w:p>
          <w:p w:rsidR="008371B0" w:rsidRPr="00293954" w:rsidRDefault="00EF5845" w:rsidP="00E7451F">
            <w:pPr>
              <w:pStyle w:val="Odstavecseseznamem"/>
              <w:tabs>
                <w:tab w:val="left" w:pos="993"/>
              </w:tabs>
              <w:ind w:left="792"/>
            </w:pPr>
            <w:r w:rsidRPr="00EF5845">
              <w:rPr>
                <w:b/>
              </w:rPr>
              <w:t>Akutní toxicita</w:t>
            </w:r>
            <w:r w:rsidRPr="00EF5845">
              <w:t xml:space="preserve">: </w:t>
            </w:r>
            <w:r w:rsidR="00CF22D8">
              <w:t>směs není klasifikována jako toxická</w:t>
            </w:r>
          </w:p>
        </w:tc>
      </w:tr>
      <w:tr w:rsidR="003C0A49" w:rsidTr="00CC328A">
        <w:trPr>
          <w:trHeight w:val="384"/>
        </w:trPr>
        <w:tc>
          <w:tcPr>
            <w:tcW w:w="1927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FA563A" w:rsidRDefault="003C0A49" w:rsidP="00676D39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7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Pr="001F4223" w:rsidRDefault="003C0A49" w:rsidP="00676D39">
            <w:pPr>
              <w:pStyle w:val="Odstavecseseznamem"/>
              <w:ind w:left="-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Endpoint</w:t>
            </w:r>
            <w:proofErr w:type="spellEnd"/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Default="003C0A49" w:rsidP="00676D3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Expozice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49" w:rsidRDefault="003C0A49" w:rsidP="00676D3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Druhy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A49" w:rsidRDefault="003C0A49" w:rsidP="00676D3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Výsledek</w:t>
            </w:r>
          </w:p>
          <w:p w:rsidR="003C0A49" w:rsidRDefault="003C0A49" w:rsidP="0032192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[mg/</w:t>
            </w:r>
            <w:r w:rsidR="0032192B">
              <w:rPr>
                <w:b/>
              </w:rPr>
              <w:t>kg</w:t>
            </w:r>
            <w:r>
              <w:rPr>
                <w:b/>
              </w:rPr>
              <w:t>]</w:t>
            </w:r>
          </w:p>
        </w:tc>
      </w:tr>
      <w:tr w:rsidR="00CC328A" w:rsidTr="00CC328A">
        <w:trPr>
          <w:trHeight w:val="384"/>
        </w:trPr>
        <w:tc>
          <w:tcPr>
            <w:tcW w:w="1927" w:type="pct"/>
            <w:vMerge w:val="restart"/>
            <w:tcBorders>
              <w:top w:val="dotted" w:sz="4" w:space="0" w:color="auto"/>
              <w:left w:val="single" w:sz="4" w:space="0" w:color="000000" w:themeColor="text1"/>
              <w:right w:val="dotted" w:sz="4" w:space="0" w:color="auto"/>
            </w:tcBorders>
            <w:vAlign w:val="center"/>
          </w:tcPr>
          <w:p w:rsidR="00CC328A" w:rsidRPr="00741C19" w:rsidRDefault="00CC328A" w:rsidP="00676D39">
            <w:pPr>
              <w:pStyle w:val="Odstavecseseznamem"/>
              <w:ind w:left="0"/>
              <w:jc w:val="center"/>
            </w:pPr>
            <w:r>
              <w:t>hydroxid sodný</w:t>
            </w:r>
          </w:p>
        </w:tc>
        <w:tc>
          <w:tcPr>
            <w:tcW w:w="7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Pr="00C55085" w:rsidRDefault="00CC328A" w:rsidP="00676D39">
            <w:pPr>
              <w:pStyle w:val="Odstavecseseznamem"/>
              <w:ind w:left="-83"/>
              <w:jc w:val="center"/>
            </w:pPr>
            <w:r>
              <w:t>LD</w:t>
            </w:r>
            <w:r>
              <w:rPr>
                <w:vertAlign w:val="subscript"/>
              </w:rPr>
              <w:t>50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Pr="00112744" w:rsidRDefault="00CC328A" w:rsidP="00676D39">
            <w:pPr>
              <w:pStyle w:val="Odstavecseseznamem"/>
              <w:ind w:left="-83"/>
              <w:jc w:val="center"/>
            </w:pPr>
            <w:r>
              <w:t>intraperitoneálně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Pr="00112744" w:rsidRDefault="00CC328A" w:rsidP="00676D39">
            <w:pPr>
              <w:pStyle w:val="Odstavecseseznamem"/>
              <w:ind w:left="-83"/>
              <w:jc w:val="center"/>
            </w:pPr>
            <w:r>
              <w:t xml:space="preserve">myš 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28A" w:rsidRPr="00112744" w:rsidRDefault="00CC328A" w:rsidP="00676D39">
            <w:pPr>
              <w:pStyle w:val="Odstavecseseznamem"/>
              <w:ind w:left="-83"/>
              <w:jc w:val="center"/>
            </w:pPr>
            <w:r>
              <w:t>40</w:t>
            </w:r>
          </w:p>
        </w:tc>
      </w:tr>
      <w:tr w:rsidR="00CC328A" w:rsidTr="00CC328A">
        <w:trPr>
          <w:trHeight w:val="384"/>
        </w:trPr>
        <w:tc>
          <w:tcPr>
            <w:tcW w:w="1927" w:type="pct"/>
            <w:vMerge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0"/>
              <w:jc w:val="center"/>
            </w:pPr>
          </w:p>
        </w:tc>
        <w:tc>
          <w:tcPr>
            <w:tcW w:w="7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proofErr w:type="spellStart"/>
            <w:r>
              <w:t>LD</w:t>
            </w:r>
            <w:r w:rsidRPr="0032192B">
              <w:rPr>
                <w:vertAlign w:val="subscript"/>
              </w:rPr>
              <w:t>Lo</w:t>
            </w:r>
            <w:proofErr w:type="spellEnd"/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r>
              <w:t>orálně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r>
              <w:t>králík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r>
              <w:t>500</w:t>
            </w:r>
          </w:p>
        </w:tc>
      </w:tr>
      <w:tr w:rsidR="00CC328A" w:rsidTr="00CC328A">
        <w:trPr>
          <w:trHeight w:val="384"/>
        </w:trPr>
        <w:tc>
          <w:tcPr>
            <w:tcW w:w="1927" w:type="pct"/>
            <w:vMerge/>
            <w:tcBorders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0"/>
              <w:jc w:val="center"/>
            </w:pPr>
          </w:p>
        </w:tc>
        <w:tc>
          <w:tcPr>
            <w:tcW w:w="7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r w:rsidRPr="0032192B">
              <w:t>LD</w:t>
            </w:r>
            <w:r w:rsidRPr="0032192B">
              <w:rPr>
                <w:vertAlign w:val="subscript"/>
              </w:rPr>
              <w:t>50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r>
              <w:t>dermálně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r w:rsidRPr="00CC328A">
              <w:t>králík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28A" w:rsidRDefault="00CC328A" w:rsidP="00676D39">
            <w:pPr>
              <w:pStyle w:val="Odstavecseseznamem"/>
              <w:ind w:left="-83"/>
              <w:jc w:val="center"/>
            </w:pPr>
            <w:r>
              <w:t>1350</w:t>
            </w:r>
          </w:p>
        </w:tc>
      </w:tr>
      <w:tr w:rsidR="003C0A49" w:rsidTr="003C0A49">
        <w:trPr>
          <w:trHeight w:val="7761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0A49" w:rsidRDefault="003C0A49" w:rsidP="003C0A49">
            <w:pPr>
              <w:tabs>
                <w:tab w:val="left" w:pos="709"/>
              </w:tabs>
              <w:spacing w:before="120"/>
              <w:ind w:left="794"/>
            </w:pPr>
            <w:r>
              <w:rPr>
                <w:b/>
              </w:rPr>
              <w:t>Ž</w:t>
            </w:r>
            <w:r w:rsidRPr="001D68F3">
              <w:rPr>
                <w:b/>
              </w:rPr>
              <w:t>íravost</w:t>
            </w:r>
            <w:r w:rsidRPr="00EF5845">
              <w:t xml:space="preserve">: </w:t>
            </w:r>
            <w:r>
              <w:t>směs je klasifikována jako žíravá</w:t>
            </w:r>
          </w:p>
          <w:p w:rsidR="003C0A49" w:rsidRDefault="003C0A49" w:rsidP="003C0A49">
            <w:pPr>
              <w:tabs>
                <w:tab w:val="left" w:pos="1134"/>
              </w:tabs>
              <w:ind w:left="1134"/>
            </w:pPr>
            <w:r w:rsidRPr="00E7451F">
              <w:rPr>
                <w:u w:val="single"/>
              </w:rPr>
              <w:t>Při inhalaci</w:t>
            </w:r>
            <w:r>
              <w:t>: Nízké koncentrace mohou způsobovat podráždění vlhkých tkání, záněty hrdla, záchvaty kašle a dušnost. Vážná expozice může mít za následek poškození vlhkých tkání.</w:t>
            </w:r>
          </w:p>
          <w:p w:rsidR="003C0A49" w:rsidRDefault="003C0A49" w:rsidP="003C0A49">
            <w:pPr>
              <w:tabs>
                <w:tab w:val="left" w:pos="1134"/>
              </w:tabs>
              <w:spacing w:before="120"/>
              <w:ind w:left="1134"/>
            </w:pPr>
            <w:r w:rsidRPr="00E7451F">
              <w:rPr>
                <w:u w:val="single"/>
              </w:rPr>
              <w:t>Při zasažení kůže</w:t>
            </w:r>
            <w:r>
              <w:t>: Rozsah poškození závisí na koncentraci, pH, objemu roztoku a délce trvání kontaktu. Může způsobit zarudnutí, bolest, pálivý ekzém až chemické popáleniny. Opakovaný nebo prodloužený kontakt s látkou může vést k dermatitidě. Dochází rovněž k potivosti kůže, poškození nehtů a ztrátě chlupů (depilační účinek).</w:t>
            </w:r>
          </w:p>
          <w:p w:rsidR="003C0A49" w:rsidRDefault="003C0A49" w:rsidP="003C0A49">
            <w:pPr>
              <w:tabs>
                <w:tab w:val="left" w:pos="1134"/>
              </w:tabs>
              <w:spacing w:before="120"/>
              <w:ind w:left="1134"/>
            </w:pPr>
            <w:r w:rsidRPr="00E7451F">
              <w:rPr>
                <w:u w:val="single"/>
              </w:rPr>
              <w:t>Při zasažení očí</w:t>
            </w:r>
            <w:r>
              <w:t>: Může způsobit zarudnutí, b</w:t>
            </w:r>
            <w:r w:rsidR="00CC328A">
              <w:t xml:space="preserve">olest nebo zastřené vidění. </w:t>
            </w:r>
          </w:p>
          <w:p w:rsidR="003C0A49" w:rsidRDefault="003C0A49" w:rsidP="003C0A49">
            <w:pPr>
              <w:tabs>
                <w:tab w:val="left" w:pos="1134"/>
              </w:tabs>
              <w:spacing w:before="120"/>
              <w:ind w:left="1134"/>
            </w:pPr>
            <w:r w:rsidRPr="003C0A49">
              <w:rPr>
                <w:u w:val="single"/>
              </w:rPr>
              <w:t>Při požití</w:t>
            </w:r>
            <w:r>
              <w:t>: Požití může způsobit pocity pálení v ústech, poranění rtů, úst, jazyka, hltanu a vážné poškození jícnu spojené s bolestí (zvracení krve).</w:t>
            </w:r>
            <w:r>
              <w:cr/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>
              <w:rPr>
                <w:b/>
              </w:rPr>
              <w:t>Dráždivost</w:t>
            </w:r>
            <w:r w:rsidRPr="00EF5845">
              <w:t xml:space="preserve">: </w:t>
            </w:r>
            <w:r>
              <w:t xml:space="preserve">směs </w:t>
            </w:r>
            <w:r w:rsidRPr="00E7451F">
              <w:t>není</w:t>
            </w:r>
            <w:r w:rsidRPr="00CF22D8">
              <w:rPr>
                <w:b/>
              </w:rPr>
              <w:t xml:space="preserve"> </w:t>
            </w:r>
            <w:r>
              <w:t>klasifikována jako dráždivá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Senzibilizace dýchacích cest/kůže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senzibilizující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proofErr w:type="spellStart"/>
            <w:r w:rsidRPr="00EF5845">
              <w:rPr>
                <w:b/>
              </w:rPr>
              <w:t>Karcinogenita</w:t>
            </w:r>
            <w:proofErr w:type="spellEnd"/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karcinogenní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Mutagenita v zárodečných buňkách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mutagenní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reprodukci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toxická pro reprodukci</w:t>
            </w:r>
          </w:p>
          <w:p w:rsidR="003C0A49" w:rsidRPr="00EF5845" w:rsidRDefault="003C0A4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specifické cílové orgány - jednorázová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jednorázové expozici</w:t>
            </w:r>
          </w:p>
          <w:p w:rsidR="003C0A49" w:rsidRDefault="003C0A49" w:rsidP="00793D4B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rPr>
                <w:b/>
                <w:u w:val="single"/>
              </w:rPr>
            </w:pPr>
            <w:r w:rsidRPr="00EF5845">
              <w:rPr>
                <w:b/>
              </w:rPr>
              <w:t>Toxicita pro specifické cílové orgány - opakovaná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opakované expozic</w:t>
            </w:r>
            <w:r>
              <w:t>i</w:t>
            </w:r>
          </w:p>
        </w:tc>
      </w:tr>
    </w:tbl>
    <w:p w:rsidR="005D03C7" w:rsidRDefault="005D03C7"/>
    <w:p w:rsidR="00CC328A" w:rsidRDefault="00CC328A"/>
    <w:p w:rsidR="00CC328A" w:rsidRDefault="00CC328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8489"/>
      </w:tblGrid>
      <w:tr w:rsidR="00121FB0" w:rsidRPr="008F69EE" w:rsidTr="001801AE">
        <w:tc>
          <w:tcPr>
            <w:tcW w:w="430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</w:pPr>
            <w:r w:rsidRPr="001F2885">
              <w:rPr>
                <w:b/>
              </w:rPr>
              <w:lastRenderedPageBreak/>
              <w:t>ODDÍL</w:t>
            </w:r>
          </w:p>
        </w:tc>
        <w:tc>
          <w:tcPr>
            <w:tcW w:w="4570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5" w:hanging="425"/>
            </w:pPr>
            <w:r w:rsidRPr="001F2885">
              <w:rPr>
                <w:b/>
              </w:rPr>
              <w:t>EKOLOGICKÉ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84"/>
        <w:gridCol w:w="1559"/>
        <w:gridCol w:w="1419"/>
        <w:gridCol w:w="1980"/>
        <w:gridCol w:w="1246"/>
      </w:tblGrid>
      <w:tr w:rsidR="00FE480A" w:rsidTr="001801AE"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:rsidR="00FE480A" w:rsidRDefault="00445554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Toxicita</w:t>
            </w:r>
          </w:p>
        </w:tc>
      </w:tr>
      <w:tr w:rsidR="00C55085" w:rsidTr="00CC328A">
        <w:trPr>
          <w:trHeight w:val="542"/>
        </w:trPr>
        <w:tc>
          <w:tcPr>
            <w:tcW w:w="1660" w:type="pct"/>
            <w:tcBorders>
              <w:top w:val="dotted" w:sz="2" w:space="0" w:color="auto"/>
              <w:left w:val="single" w:sz="4" w:space="0" w:color="000000" w:themeColor="text1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Pr="00FA563A" w:rsidRDefault="00C55085" w:rsidP="00D61D20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839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Pr="001F4223" w:rsidRDefault="00C55085" w:rsidP="00D61D20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Endpoint</w:t>
            </w:r>
          </w:p>
        </w:tc>
        <w:tc>
          <w:tcPr>
            <w:tcW w:w="764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Default="00C55085" w:rsidP="00D61D2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Expozice</w:t>
            </w:r>
          </w:p>
        </w:tc>
        <w:tc>
          <w:tcPr>
            <w:tcW w:w="1066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55085" w:rsidRDefault="00C55085" w:rsidP="00D61D2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Druhy</w:t>
            </w:r>
          </w:p>
        </w:tc>
        <w:tc>
          <w:tcPr>
            <w:tcW w:w="670" w:type="pct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55085" w:rsidRDefault="00C55085" w:rsidP="00D61D2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Výsledek</w:t>
            </w:r>
          </w:p>
          <w:p w:rsidR="00C55085" w:rsidRDefault="00C55085" w:rsidP="003C0A4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 w:rsidR="003C0A49">
              <w:rPr>
                <w:rFonts w:cstheme="minorHAnsi"/>
                <w:b/>
              </w:rPr>
              <w:t>μ</w:t>
            </w:r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>/L]</w:t>
            </w:r>
          </w:p>
        </w:tc>
      </w:tr>
      <w:tr w:rsidR="003C0A49" w:rsidRPr="00112744" w:rsidTr="00CC328A">
        <w:trPr>
          <w:trHeight w:val="547"/>
        </w:trPr>
        <w:tc>
          <w:tcPr>
            <w:tcW w:w="1660" w:type="pct"/>
            <w:vMerge w:val="restart"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3C0A49" w:rsidRPr="00741C19" w:rsidRDefault="00CC328A" w:rsidP="00121FB0">
            <w:pPr>
              <w:pStyle w:val="Odstavecseseznamem"/>
              <w:ind w:left="0"/>
              <w:jc w:val="center"/>
            </w:pPr>
            <w:r>
              <w:t>hydroxid sodný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C0A49" w:rsidRPr="00C55085" w:rsidRDefault="003C0A49" w:rsidP="003C0A49">
            <w:pPr>
              <w:pStyle w:val="Odstavecseseznamem"/>
              <w:ind w:left="-83"/>
              <w:jc w:val="center"/>
            </w:pPr>
            <w:r>
              <w:t>LC</w:t>
            </w:r>
            <w:r>
              <w:rPr>
                <w:vertAlign w:val="subscript"/>
              </w:rPr>
              <w:t>50</w:t>
            </w:r>
          </w:p>
        </w:tc>
        <w:tc>
          <w:tcPr>
            <w:tcW w:w="764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C0A49" w:rsidRPr="00112744" w:rsidRDefault="00CC328A" w:rsidP="00D61D20">
            <w:pPr>
              <w:pStyle w:val="Odstavecseseznamem"/>
              <w:ind w:left="-83"/>
              <w:jc w:val="center"/>
            </w:pPr>
            <w:r>
              <w:t>24</w:t>
            </w:r>
            <w:r w:rsidR="003C0A49">
              <w:t xml:space="preserve"> h</w:t>
            </w:r>
          </w:p>
        </w:tc>
        <w:tc>
          <w:tcPr>
            <w:tcW w:w="1066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328A" w:rsidRDefault="003C0A49" w:rsidP="00CC328A">
            <w:pPr>
              <w:pStyle w:val="Odstavecseseznamem"/>
              <w:ind w:left="-83"/>
              <w:jc w:val="center"/>
            </w:pPr>
            <w:r>
              <w:t xml:space="preserve">ryby </w:t>
            </w:r>
          </w:p>
          <w:p w:rsidR="003C0A49" w:rsidRPr="00112744" w:rsidRDefault="00CC328A" w:rsidP="00CC328A">
            <w:pPr>
              <w:pStyle w:val="Odstavecseseznamem"/>
              <w:ind w:left="-83"/>
              <w:jc w:val="center"/>
            </w:pPr>
            <w:r>
              <w:t>(</w:t>
            </w:r>
            <w:proofErr w:type="spellStart"/>
            <w:r>
              <w:rPr>
                <w:i/>
              </w:rPr>
              <w:t>Carassiu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auratus</w:t>
            </w:r>
            <w:proofErr w:type="spellEnd"/>
            <w:r w:rsidRPr="00CC328A">
              <w:t>)</w:t>
            </w:r>
            <w:r w:rsidR="003C0A49" w:rsidRPr="00CC328A">
              <w:t xml:space="preserve"> </w:t>
            </w:r>
          </w:p>
        </w:tc>
        <w:tc>
          <w:tcPr>
            <w:tcW w:w="670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3C0A49" w:rsidRPr="00112744" w:rsidRDefault="00CC328A" w:rsidP="00D61D20">
            <w:pPr>
              <w:pStyle w:val="Odstavecseseznamem"/>
              <w:ind w:left="-83"/>
              <w:jc w:val="center"/>
            </w:pPr>
            <w:r>
              <w:t>160</w:t>
            </w:r>
          </w:p>
        </w:tc>
      </w:tr>
      <w:tr w:rsidR="00CC328A" w:rsidRPr="00112744" w:rsidTr="00CC328A">
        <w:trPr>
          <w:trHeight w:val="547"/>
        </w:trPr>
        <w:tc>
          <w:tcPr>
            <w:tcW w:w="1660" w:type="pct"/>
            <w:vMerge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CC328A" w:rsidRDefault="00CC328A" w:rsidP="00121FB0">
            <w:pPr>
              <w:pStyle w:val="Odstavecseseznamem"/>
              <w:ind w:left="0"/>
              <w:jc w:val="center"/>
            </w:pPr>
          </w:p>
        </w:tc>
        <w:tc>
          <w:tcPr>
            <w:tcW w:w="839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328A" w:rsidRDefault="00CC328A" w:rsidP="003C0A49">
            <w:pPr>
              <w:pStyle w:val="Odstavecseseznamem"/>
              <w:ind w:left="-83"/>
              <w:jc w:val="center"/>
            </w:pPr>
            <w:r w:rsidRPr="00CC328A">
              <w:t>LC</w:t>
            </w:r>
            <w:r w:rsidRPr="00CC328A">
              <w:rPr>
                <w:vertAlign w:val="subscript"/>
              </w:rPr>
              <w:t>50</w:t>
            </w:r>
          </w:p>
        </w:tc>
        <w:tc>
          <w:tcPr>
            <w:tcW w:w="764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328A" w:rsidRDefault="00CC328A" w:rsidP="00D61D20">
            <w:pPr>
              <w:pStyle w:val="Odstavecseseznamem"/>
              <w:ind w:left="-83"/>
              <w:jc w:val="center"/>
            </w:pPr>
            <w:r>
              <w:t>96 h</w:t>
            </w:r>
          </w:p>
        </w:tc>
        <w:tc>
          <w:tcPr>
            <w:tcW w:w="1066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328A" w:rsidRDefault="00CC328A" w:rsidP="00CF22D8">
            <w:pPr>
              <w:pStyle w:val="Odstavecseseznamem"/>
              <w:ind w:left="-83"/>
              <w:jc w:val="center"/>
            </w:pPr>
            <w:r>
              <w:t>ryby</w:t>
            </w:r>
          </w:p>
          <w:p w:rsidR="00CC328A" w:rsidRDefault="00CC328A" w:rsidP="00CF22D8">
            <w:pPr>
              <w:pStyle w:val="Odstavecseseznamem"/>
              <w:ind w:left="-83"/>
              <w:jc w:val="center"/>
            </w:pPr>
            <w:r>
              <w:t>(</w:t>
            </w:r>
            <w:proofErr w:type="spellStart"/>
            <w:r>
              <w:rPr>
                <w:i/>
              </w:rPr>
              <w:t>Gambusia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affinis</w:t>
            </w:r>
            <w:proofErr w:type="spellEnd"/>
            <w:r w:rsidRPr="00CC328A">
              <w:t>)</w:t>
            </w:r>
          </w:p>
        </w:tc>
        <w:tc>
          <w:tcPr>
            <w:tcW w:w="670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C328A" w:rsidRDefault="00CC328A" w:rsidP="00D61D20">
            <w:pPr>
              <w:pStyle w:val="Odstavecseseznamem"/>
              <w:ind w:left="-83"/>
              <w:jc w:val="center"/>
            </w:pPr>
            <w:r>
              <w:t>125</w:t>
            </w:r>
          </w:p>
        </w:tc>
      </w:tr>
      <w:tr w:rsidR="00CC328A" w:rsidRPr="00112744" w:rsidTr="00CC328A">
        <w:trPr>
          <w:trHeight w:val="547"/>
        </w:trPr>
        <w:tc>
          <w:tcPr>
            <w:tcW w:w="1660" w:type="pct"/>
            <w:vMerge/>
            <w:tcBorders>
              <w:top w:val="dotted" w:sz="4" w:space="0" w:color="auto"/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CC328A" w:rsidRDefault="00CC328A" w:rsidP="00121FB0">
            <w:pPr>
              <w:pStyle w:val="Odstavecseseznamem"/>
              <w:ind w:left="0"/>
              <w:jc w:val="center"/>
            </w:pPr>
          </w:p>
        </w:tc>
        <w:tc>
          <w:tcPr>
            <w:tcW w:w="839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328A" w:rsidRPr="00CC328A" w:rsidRDefault="00CC328A" w:rsidP="003C0A49">
            <w:pPr>
              <w:pStyle w:val="Odstavecseseznamem"/>
              <w:ind w:left="-83"/>
              <w:jc w:val="center"/>
              <w:rPr>
                <w:vertAlign w:val="subscript"/>
              </w:rPr>
            </w:pPr>
            <w:r>
              <w:t>LC</w:t>
            </w:r>
            <w:r>
              <w:rPr>
                <w:vertAlign w:val="subscript"/>
              </w:rPr>
              <w:t>100</w:t>
            </w:r>
          </w:p>
        </w:tc>
        <w:tc>
          <w:tcPr>
            <w:tcW w:w="764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328A" w:rsidRDefault="00CC328A" w:rsidP="00D61D20">
            <w:pPr>
              <w:pStyle w:val="Odstavecseseznamem"/>
              <w:ind w:left="-83"/>
              <w:jc w:val="center"/>
            </w:pPr>
            <w:r>
              <w:t>24 h</w:t>
            </w:r>
          </w:p>
        </w:tc>
        <w:tc>
          <w:tcPr>
            <w:tcW w:w="1066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C328A" w:rsidRDefault="00CC328A" w:rsidP="00CF22D8">
            <w:pPr>
              <w:pStyle w:val="Odstavecseseznamem"/>
              <w:ind w:left="-83"/>
              <w:jc w:val="center"/>
            </w:pPr>
            <w:r>
              <w:t>ryby</w:t>
            </w:r>
          </w:p>
          <w:p w:rsidR="00CC328A" w:rsidRDefault="00CC328A" w:rsidP="00CF22D8">
            <w:pPr>
              <w:pStyle w:val="Odstavecseseznamem"/>
              <w:ind w:left="-83"/>
              <w:jc w:val="center"/>
            </w:pPr>
            <w:r>
              <w:t>(</w:t>
            </w:r>
            <w:proofErr w:type="spellStart"/>
            <w:r>
              <w:rPr>
                <w:i/>
              </w:rPr>
              <w:t>Cyprinus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carpio</w:t>
            </w:r>
            <w:proofErr w:type="spellEnd"/>
            <w:r w:rsidRPr="00CC328A">
              <w:t>)</w:t>
            </w:r>
          </w:p>
        </w:tc>
        <w:tc>
          <w:tcPr>
            <w:tcW w:w="670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CC328A" w:rsidRDefault="00CC328A" w:rsidP="00D61D20">
            <w:pPr>
              <w:pStyle w:val="Odstavecseseznamem"/>
              <w:ind w:left="-83"/>
              <w:jc w:val="center"/>
            </w:pPr>
            <w:r>
              <w:t>180</w:t>
            </w:r>
          </w:p>
        </w:tc>
      </w:tr>
      <w:tr w:rsidR="003C0A49" w:rsidRPr="00112744" w:rsidTr="00CC328A">
        <w:trPr>
          <w:trHeight w:val="547"/>
        </w:trPr>
        <w:tc>
          <w:tcPr>
            <w:tcW w:w="1660" w:type="pct"/>
            <w:vMerge/>
            <w:tcBorders>
              <w:left w:val="single" w:sz="4" w:space="0" w:color="000000" w:themeColor="text1"/>
              <w:right w:val="dotted" w:sz="2" w:space="0" w:color="auto"/>
            </w:tcBorders>
            <w:vAlign w:val="center"/>
          </w:tcPr>
          <w:p w:rsidR="003C0A49" w:rsidRDefault="003C0A49" w:rsidP="00121FB0">
            <w:pPr>
              <w:pStyle w:val="Odstavecseseznamem"/>
              <w:ind w:left="0"/>
              <w:jc w:val="center"/>
            </w:pPr>
          </w:p>
        </w:tc>
        <w:tc>
          <w:tcPr>
            <w:tcW w:w="839" w:type="pct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C0A49" w:rsidRPr="003C0A49" w:rsidRDefault="00CC328A" w:rsidP="003C0A49">
            <w:pPr>
              <w:pStyle w:val="Odstavecseseznamem"/>
              <w:ind w:left="-83"/>
              <w:jc w:val="center"/>
              <w:rPr>
                <w:vertAlign w:val="subscript"/>
              </w:rPr>
            </w:pPr>
            <w:r w:rsidRPr="00CC328A">
              <w:t>LC50</w:t>
            </w:r>
          </w:p>
        </w:tc>
        <w:tc>
          <w:tcPr>
            <w:tcW w:w="764" w:type="pct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C0A49" w:rsidRDefault="00CC328A" w:rsidP="00D61D20">
            <w:pPr>
              <w:pStyle w:val="Odstavecseseznamem"/>
              <w:ind w:left="-83"/>
              <w:jc w:val="center"/>
            </w:pPr>
            <w:r>
              <w:t>48 h</w:t>
            </w:r>
          </w:p>
        </w:tc>
        <w:tc>
          <w:tcPr>
            <w:tcW w:w="1066" w:type="pct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C0A49" w:rsidRDefault="00CC328A" w:rsidP="00CF22D8">
            <w:pPr>
              <w:pStyle w:val="Odstavecseseznamem"/>
              <w:ind w:left="-83"/>
              <w:jc w:val="center"/>
            </w:pPr>
            <w:r>
              <w:t>bezobratlí</w:t>
            </w:r>
          </w:p>
        </w:tc>
        <w:tc>
          <w:tcPr>
            <w:tcW w:w="670" w:type="pct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3C0A49" w:rsidRDefault="00CC328A" w:rsidP="00D61D20">
            <w:pPr>
              <w:pStyle w:val="Odstavecseseznamem"/>
              <w:ind w:left="-83"/>
              <w:jc w:val="center"/>
            </w:pPr>
            <w:r>
              <w:t>100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Perzistence a rozložitelnost</w:t>
            </w:r>
          </w:p>
          <w:p w:rsidR="008371B0" w:rsidRPr="00410434" w:rsidRDefault="00CF22D8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Bioakumulační potenciál</w:t>
            </w:r>
          </w:p>
          <w:p w:rsidR="008371B0" w:rsidRPr="00410434" w:rsidRDefault="00CF22D8" w:rsidP="00741C19">
            <w:pPr>
              <w:pStyle w:val="Odstavecseseznamem"/>
              <w:tabs>
                <w:tab w:val="left" w:pos="993"/>
              </w:tabs>
              <w:ind w:left="792"/>
            </w:pPr>
            <w:r w:rsidRPr="00CF22D8">
              <w:t>údaje nejsou k dispozici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Mobilita v půdě</w:t>
            </w:r>
          </w:p>
          <w:p w:rsidR="008371B0" w:rsidRPr="00410434" w:rsidRDefault="008371B0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  <w:gridSpan w:val="5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Výsledky posouzení PBT a vPvB</w:t>
            </w:r>
          </w:p>
          <w:p w:rsidR="008371B0" w:rsidRPr="00410434" w:rsidRDefault="0042310C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Směs</w:t>
            </w:r>
            <w:r w:rsidR="008371B0" w:rsidRPr="00B425B2">
              <w:t xml:space="preserve"> ani složky nesplňují kritéria pro zařazení mezi látky PBT nebo vPvB</w:t>
            </w:r>
            <w:r>
              <w:t>.</w:t>
            </w:r>
          </w:p>
        </w:tc>
      </w:tr>
      <w:tr w:rsidR="00B425B2" w:rsidTr="001801AE">
        <w:tc>
          <w:tcPr>
            <w:tcW w:w="5000" w:type="pct"/>
            <w:gridSpan w:val="5"/>
          </w:tcPr>
          <w:p w:rsidR="00B425B2" w:rsidRPr="009A34FD" w:rsidRDefault="00B425B2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Jiné nepříznivé účinky</w:t>
            </w:r>
          </w:p>
          <w:p w:rsidR="00B425B2" w:rsidRPr="009A34FD" w:rsidRDefault="00CC328A" w:rsidP="009A34FD">
            <w:pPr>
              <w:pStyle w:val="Odstavecseseznamem"/>
              <w:tabs>
                <w:tab w:val="left" w:pos="993"/>
              </w:tabs>
              <w:ind w:left="792"/>
            </w:pPr>
            <w:r w:rsidRPr="00CC328A">
              <w:t>Třída nebezpečnosti pro vodu. Hodnota WGK = 1. Slabě znečišťující vodu</w:t>
            </w:r>
          </w:p>
        </w:tc>
      </w:tr>
    </w:tbl>
    <w:p w:rsidR="00FE480A" w:rsidRDefault="00FE48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F2885">
              <w:rPr>
                <w:b/>
              </w:rPr>
              <w:t>POKYNY PRO ODSTRAŇOVÁNÍ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5CF" w:rsidTr="002B25CF">
        <w:tc>
          <w:tcPr>
            <w:tcW w:w="9212" w:type="dxa"/>
          </w:tcPr>
          <w:p w:rsidR="002B25CF" w:rsidRPr="0014491B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Metody nakládání s</w:t>
            </w:r>
            <w:r w:rsidR="0014491B"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odpady</w:t>
            </w:r>
          </w:p>
          <w:p w:rsidR="00B425B2" w:rsidRPr="003C0F81" w:rsidRDefault="00121FB0" w:rsidP="0042310C">
            <w:pPr>
              <w:tabs>
                <w:tab w:val="left" w:pos="993"/>
              </w:tabs>
              <w:ind w:left="851"/>
            </w:pPr>
            <w:r w:rsidRPr="003C0F81">
              <w:rPr>
                <w:bCs/>
              </w:rPr>
              <w:t>Postupuje se podle zákona o odpadech a podle jeho prováděcích předpisů o zneškodňování odpadů. Větší množství předejte k likvidaci specializované firmě s oprávněním k této činnosti, malé množství po velkém zředění vypustit do kanalizace.</w:t>
            </w:r>
          </w:p>
        </w:tc>
      </w:tr>
    </w:tbl>
    <w:p w:rsidR="002B25CF" w:rsidRDefault="002B25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8430"/>
      </w:tblGrid>
      <w:tr w:rsidR="00121FB0" w:rsidRPr="008F69EE" w:rsidTr="00121FB0">
        <w:tc>
          <w:tcPr>
            <w:tcW w:w="794" w:type="dxa"/>
            <w:tcBorders>
              <w:right w:val="nil"/>
            </w:tcBorders>
            <w:shd w:val="clear" w:color="auto" w:fill="D9D9D9"/>
          </w:tcPr>
          <w:p w:rsidR="00121FB0" w:rsidRPr="00AD1E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AD1E91">
              <w:rPr>
                <w:b/>
              </w:rPr>
              <w:t>ODDÍL</w:t>
            </w:r>
          </w:p>
        </w:tc>
        <w:tc>
          <w:tcPr>
            <w:tcW w:w="8430" w:type="dxa"/>
            <w:tcBorders>
              <w:left w:val="nil"/>
            </w:tcBorders>
            <w:shd w:val="clear" w:color="auto" w:fill="D9D9D9"/>
          </w:tcPr>
          <w:p w:rsidR="00121FB0" w:rsidRPr="00AD1E91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AD1E91">
              <w:rPr>
                <w:b/>
              </w:rPr>
              <w:t>INFORMACE PRO PŘEPRAVU</w:t>
            </w:r>
          </w:p>
        </w:tc>
      </w:tr>
      <w:tr w:rsidR="00121FB0" w:rsidRPr="008F69EE" w:rsidTr="00423304">
        <w:trPr>
          <w:trHeight w:val="67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contextualSpacing/>
            </w:pPr>
            <w:r w:rsidRPr="008F69EE">
              <w:t>Výrobky se dopravují v běžných, krytých a čistých dopravních prostředcích. V poloze uzávěrem vzhůru, chráněny před povětrnostními vlivy, přímým sluncem, mrazem, nárazy a pády.</w:t>
            </w:r>
          </w:p>
        </w:tc>
      </w:tr>
      <w:tr w:rsidR="00121FB0" w:rsidRPr="008F69EE" w:rsidTr="00121FB0">
        <w:trPr>
          <w:trHeight w:val="542"/>
        </w:trPr>
        <w:tc>
          <w:tcPr>
            <w:tcW w:w="922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</w:pPr>
            <w:r w:rsidRPr="008F69EE">
              <w:rPr>
                <w:b/>
              </w:rPr>
              <w:t xml:space="preserve">Číslo </w:t>
            </w:r>
            <w:r>
              <w:rPr>
                <w:b/>
              </w:rPr>
              <w:t>UN</w:t>
            </w:r>
          </w:p>
          <w:p w:rsidR="00121FB0" w:rsidRPr="008F69EE" w:rsidRDefault="00CC328A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>
              <w:t>1823</w:t>
            </w:r>
          </w:p>
        </w:tc>
      </w:tr>
      <w:tr w:rsidR="00121FB0" w:rsidRPr="008F69EE" w:rsidTr="00121FB0">
        <w:trPr>
          <w:trHeight w:val="26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  <w:rPr>
                <w:b/>
              </w:rPr>
            </w:pPr>
            <w:r w:rsidRPr="008F69EE">
              <w:rPr>
                <w:b/>
              </w:rPr>
              <w:t xml:space="preserve">Náležitý název </w:t>
            </w:r>
            <w:r>
              <w:rPr>
                <w:b/>
              </w:rPr>
              <w:t>UN</w:t>
            </w:r>
            <w:r w:rsidRPr="008F69EE">
              <w:rPr>
                <w:b/>
              </w:rPr>
              <w:t xml:space="preserve"> pro zásilku</w:t>
            </w:r>
          </w:p>
          <w:p w:rsidR="00121FB0" w:rsidRPr="008F69EE" w:rsidRDefault="00CC328A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CC328A">
              <w:t>HYDROXID SODNÝ pevný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Třída/třídy nebezpečnosti pro přepravu</w:t>
            </w:r>
          </w:p>
          <w:p w:rsidR="00121FB0" w:rsidRPr="008F69EE" w:rsidRDefault="00CC328A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>
              <w:t>8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Obalová skupina</w:t>
            </w:r>
          </w:p>
          <w:p w:rsidR="00121FB0" w:rsidRPr="008F69EE" w:rsidRDefault="00CC328A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>
              <w:t>II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lastRenderedPageBreak/>
              <w:t>Nebezpeční pro životní prostředí</w:t>
            </w:r>
          </w:p>
          <w:p w:rsidR="00121FB0" w:rsidRPr="008F69EE" w:rsidRDefault="00CC328A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>
              <w:t>Ano, viz oddíl 12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Zvláštní bezpečnostní opatření pro uživatele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žádné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Hromadná přeprava dle přílohy II MARPOL 73/78 a předpisu IBC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neaplikovatelné</w:t>
            </w:r>
          </w:p>
        </w:tc>
      </w:tr>
    </w:tbl>
    <w:p w:rsidR="00B425B2" w:rsidRDefault="00B425B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1F2885">
              <w:rPr>
                <w:b/>
              </w:rPr>
              <w:t>INFORMACE O PŘEDPISECH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B25CF" w:rsidTr="001801AE">
        <w:tc>
          <w:tcPr>
            <w:tcW w:w="5000" w:type="pct"/>
          </w:tcPr>
          <w:p w:rsidR="002B25CF" w:rsidRPr="007A46EC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Nařízení týkající se bezpečnosti, zdraví a životního prostředí/specifické právní předpisy týkající se látky nebo směsi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Předpis č. 350/2011 Sb. Zákon o chemických látkách a chemických směsích a o změně některých zákonů (chemický zákon)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1907/2006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1272/2008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Směrnice 67/548/EHS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vlády č. 361/2007 Sb.   Podmínky ochrany zdraví při práci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258/2000 Sb.  O ochraně veřejného zdraví ve znění zákona 274/2003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185/2001 Sb. O odpadech ve znění z. 188/2004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 477/2001 Sb. O obalech ve znění z. 94/2004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zákoník práce č. 262/2006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č. 59/2006 Sb. o prevenci závažných havárií způsobených vybranými nebezpečnými chemickými látkami a chemickými přípravky</w:t>
            </w:r>
          </w:p>
          <w:p w:rsidR="00121FB0" w:rsidRPr="00121FB0" w:rsidRDefault="00CC328A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>
              <w:rPr>
                <w:bCs/>
              </w:rPr>
              <w:t>Zákon č. 201/20</w:t>
            </w:r>
            <w:r w:rsidR="00121FB0" w:rsidRPr="00121FB0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121FB0" w:rsidRPr="00121FB0">
              <w:rPr>
                <w:bCs/>
              </w:rPr>
              <w:t xml:space="preserve"> Sb. O ochraně ovzduší</w:t>
            </w:r>
          </w:p>
          <w:p w:rsidR="005B4C8B" w:rsidRPr="007A46EC" w:rsidRDefault="00121FB0" w:rsidP="00121FB0">
            <w:pPr>
              <w:pStyle w:val="Odstavecseseznamem"/>
              <w:tabs>
                <w:tab w:val="left" w:pos="993"/>
              </w:tabs>
              <w:ind w:left="792"/>
            </w:pPr>
            <w:r w:rsidRPr="00121FB0">
              <w:rPr>
                <w:bCs/>
              </w:rPr>
              <w:t>Zákon č. 254/2001 Sb. O vodách</w:t>
            </w:r>
          </w:p>
        </w:tc>
      </w:tr>
      <w:tr w:rsidR="002B25CF" w:rsidTr="001801AE">
        <w:tc>
          <w:tcPr>
            <w:tcW w:w="5000" w:type="pct"/>
          </w:tcPr>
          <w:p w:rsidR="002B25CF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Posouzení chemické bezpečnosti</w:t>
            </w:r>
          </w:p>
          <w:p w:rsidR="00CF22D8" w:rsidRPr="00E44FAC" w:rsidRDefault="00326CA9" w:rsidP="00CC328A">
            <w:pPr>
              <w:pStyle w:val="Odstavecseseznamem"/>
              <w:tabs>
                <w:tab w:val="left" w:pos="993"/>
              </w:tabs>
              <w:ind w:left="792"/>
            </w:pPr>
            <w:r w:rsidRPr="00326CA9">
              <w:t xml:space="preserve">Pro </w:t>
            </w:r>
            <w:r w:rsidR="00CC328A">
              <w:t>daný výrobek</w:t>
            </w:r>
            <w:r w:rsidRPr="00326CA9">
              <w:t xml:space="preserve"> nebylo provedeno posouzen</w:t>
            </w:r>
            <w:r w:rsidRPr="00326CA9">
              <w:rPr>
                <w:rFonts w:hint="eastAsia"/>
              </w:rPr>
              <w:t>í</w:t>
            </w:r>
            <w:r w:rsidRPr="00326CA9">
              <w:t xml:space="preserve"> chemick</w:t>
            </w:r>
            <w:r w:rsidRPr="00326CA9">
              <w:rPr>
                <w:rFonts w:hint="eastAsia"/>
              </w:rPr>
              <w:t>é</w:t>
            </w:r>
            <w:r w:rsidRPr="00326CA9">
              <w:t xml:space="preserve"> bezpe</w:t>
            </w:r>
            <w:r w:rsidRPr="00326CA9">
              <w:rPr>
                <w:rFonts w:hint="eastAsia"/>
              </w:rPr>
              <w:t>č</w:t>
            </w:r>
            <w:r w:rsidRPr="00326CA9">
              <w:t>nosti</w:t>
            </w:r>
          </w:p>
        </w:tc>
      </w:tr>
      <w:tr w:rsidR="0048565A" w:rsidTr="001801AE">
        <w:tc>
          <w:tcPr>
            <w:tcW w:w="5000" w:type="pct"/>
          </w:tcPr>
          <w:p w:rsidR="0048565A" w:rsidRPr="00AF12D9" w:rsidRDefault="0048565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 w:rsidRPr="00AF12D9">
              <w:rPr>
                <w:b/>
                <w:u w:val="single"/>
              </w:rPr>
              <w:t>Označení na obalu přípravku</w:t>
            </w:r>
          </w:p>
          <w:p w:rsidR="0048565A" w:rsidRPr="00326CA9" w:rsidRDefault="00A347F5" w:rsidP="00CC328A">
            <w:pPr>
              <w:pStyle w:val="Odstavecseseznamem"/>
              <w:tabs>
                <w:tab w:val="left" w:pos="993"/>
              </w:tabs>
              <w:ind w:left="792"/>
            </w:pPr>
            <w:r w:rsidRPr="00A347F5">
              <w:rPr>
                <w:b/>
              </w:rPr>
              <w:t>Složení</w:t>
            </w:r>
            <w:r>
              <w:t xml:space="preserve">: </w:t>
            </w:r>
            <w:r w:rsidR="00CC328A">
              <w:t xml:space="preserve">hydroxid sodný (indexové číslo: </w:t>
            </w:r>
            <w:r w:rsidR="00CC328A" w:rsidRPr="00CC328A">
              <w:t>011-002-00-6</w:t>
            </w:r>
            <w:r w:rsidR="00CC328A">
              <w:t>)</w:t>
            </w:r>
          </w:p>
        </w:tc>
      </w:tr>
      <w:tr w:rsidR="008350F7" w:rsidTr="001801AE">
        <w:tc>
          <w:tcPr>
            <w:tcW w:w="5000" w:type="pct"/>
          </w:tcPr>
          <w:p w:rsidR="008350F7" w:rsidRDefault="008350F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Další značení</w:t>
            </w:r>
          </w:p>
          <w:p w:rsidR="008350F7" w:rsidRPr="008350F7" w:rsidRDefault="00CC328A" w:rsidP="00676D39">
            <w:pPr>
              <w:pStyle w:val="Odstavecseseznamem"/>
              <w:tabs>
                <w:tab w:val="left" w:pos="993"/>
              </w:tabs>
              <w:ind w:left="792"/>
            </w:pPr>
            <w:r>
              <w:t>hmatatelná výstraha pro nevidomé</w:t>
            </w:r>
          </w:p>
        </w:tc>
      </w:tr>
    </w:tbl>
    <w:p w:rsidR="008350F7" w:rsidRDefault="008350F7"/>
    <w:p w:rsidR="00CC328A" w:rsidRDefault="00CC328A"/>
    <w:p w:rsidR="00CC328A" w:rsidRDefault="00CC328A"/>
    <w:p w:rsidR="00CC328A" w:rsidRDefault="00CC328A"/>
    <w:p w:rsidR="00CC328A" w:rsidRDefault="00CC328A"/>
    <w:p w:rsidR="00CC328A" w:rsidRDefault="00CC328A"/>
    <w:p w:rsidR="00CC328A" w:rsidRDefault="00CC328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rPr>
          <w:trHeight w:val="267"/>
        </w:trPr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C15235">
              <w:rPr>
                <w:b/>
              </w:rPr>
              <w:t>DALŠÍ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50A1C" w:rsidTr="001801AE">
        <w:trPr>
          <w:trHeight w:val="2610"/>
        </w:trPr>
        <w:tc>
          <w:tcPr>
            <w:tcW w:w="5000" w:type="pct"/>
          </w:tcPr>
          <w:p w:rsidR="007C6DF5" w:rsidRDefault="007C6DF5" w:rsidP="007C6DF5">
            <w:pPr>
              <w:rPr>
                <w:b/>
              </w:rPr>
            </w:pPr>
            <w:r>
              <w:rPr>
                <w:b/>
              </w:rPr>
              <w:t xml:space="preserve">Vysvětlivky a plné znění použitých </w:t>
            </w:r>
            <w:r w:rsidR="00676D39">
              <w:rPr>
                <w:b/>
              </w:rPr>
              <w:t xml:space="preserve">klasifikací </w:t>
            </w:r>
            <w:r>
              <w:rPr>
                <w:b/>
              </w:rPr>
              <w:t>a H-vět:</w:t>
            </w:r>
          </w:p>
          <w:p w:rsidR="00326CA9" w:rsidRDefault="00326CA9" w:rsidP="00326CA9">
            <w:pPr>
              <w:pStyle w:val="Odstavecseseznamem"/>
              <w:ind w:left="360"/>
            </w:pPr>
          </w:p>
          <w:p w:rsidR="006560BE" w:rsidRPr="006560BE" w:rsidRDefault="00676D39" w:rsidP="00423304">
            <w:pPr>
              <w:pStyle w:val="Odstavecseseznamem"/>
              <w:ind w:left="284"/>
            </w:pPr>
            <w:proofErr w:type="spellStart"/>
            <w:r>
              <w:t>Eye</w:t>
            </w:r>
            <w:proofErr w:type="spellEnd"/>
            <w:r>
              <w:t xml:space="preserve"> Dam. 1 Vážné poškození očí, kategorie 1</w:t>
            </w:r>
          </w:p>
          <w:p w:rsidR="00423304" w:rsidRDefault="00600F35" w:rsidP="00423304">
            <w:pPr>
              <w:pStyle w:val="Odstavecseseznamem"/>
              <w:ind w:left="284"/>
            </w:pPr>
            <w:r>
              <w:t xml:space="preserve">Skin </w:t>
            </w:r>
            <w:proofErr w:type="spellStart"/>
            <w:r>
              <w:t>Corr</w:t>
            </w:r>
            <w:proofErr w:type="spellEnd"/>
            <w:r>
              <w:t>. 1</w:t>
            </w:r>
            <w:r w:rsidR="00CC328A">
              <w:t>A</w:t>
            </w:r>
            <w:r>
              <w:t xml:space="preserve"> Žíravost pro kůži, kategorie 1</w:t>
            </w:r>
            <w:r w:rsidR="00CC328A">
              <w:t>A</w:t>
            </w:r>
          </w:p>
          <w:p w:rsidR="00600F35" w:rsidRDefault="00600F35" w:rsidP="00423304">
            <w:pPr>
              <w:pStyle w:val="Odstavecseseznamem"/>
              <w:ind w:left="284"/>
            </w:pPr>
          </w:p>
          <w:p w:rsidR="00676D39" w:rsidRDefault="00676D39" w:rsidP="00676D39">
            <w:pPr>
              <w:pStyle w:val="Odstavecseseznamem"/>
              <w:ind w:left="284"/>
            </w:pPr>
            <w:r>
              <w:t>H314 Způsobuje těžké poleptání kůže a poškození očí</w:t>
            </w:r>
          </w:p>
          <w:p w:rsidR="00676D39" w:rsidRDefault="00676D39" w:rsidP="00676D39">
            <w:pPr>
              <w:pStyle w:val="Odstavecseseznamem"/>
              <w:ind w:left="284"/>
            </w:pPr>
            <w:r>
              <w:t>H318 Způsobuje vážné poškození očí</w:t>
            </w:r>
          </w:p>
          <w:p w:rsidR="00676D39" w:rsidRDefault="00676D39" w:rsidP="00AF3089">
            <w:pPr>
              <w:pStyle w:val="Odstavecseseznamem"/>
              <w:ind w:left="360"/>
            </w:pPr>
          </w:p>
          <w:p w:rsidR="00D50A1C" w:rsidRDefault="00D957F2" w:rsidP="00AF3089">
            <w:pPr>
              <w:pStyle w:val="Odstavecseseznamem"/>
              <w:ind w:left="360"/>
            </w:pPr>
            <w:r w:rsidRPr="00D957F2">
              <w:t xml:space="preserve">Bezpečnostní list obsahuje údaje potřebné pro zajištění bezpečnosti a ochrany zdraví při práci a ochrany životního prostředí. </w:t>
            </w:r>
          </w:p>
          <w:p w:rsidR="00D957F2" w:rsidRDefault="00D957F2" w:rsidP="00AF3089">
            <w:pPr>
              <w:pStyle w:val="Odstavecseseznamem"/>
              <w:ind w:left="360"/>
            </w:pPr>
          </w:p>
          <w:p w:rsidR="00D50A1C" w:rsidRPr="0065076D" w:rsidRDefault="00D50A1C" w:rsidP="0065076D">
            <w:pPr>
              <w:pStyle w:val="Odstavecseseznamem"/>
              <w:ind w:left="360"/>
            </w:pPr>
            <w:r w:rsidRPr="0065076D">
              <w:rPr>
                <w:b/>
                <w:bCs/>
              </w:rPr>
              <w:t xml:space="preserve">Pokyny pro školení: </w:t>
            </w:r>
          </w:p>
          <w:p w:rsidR="00D50A1C" w:rsidRDefault="00D50A1C" w:rsidP="00741C19">
            <w:pPr>
              <w:pStyle w:val="Odstavecseseznamem"/>
              <w:ind w:left="357"/>
              <w:rPr>
                <w:b/>
              </w:rPr>
            </w:pPr>
            <w:r w:rsidRPr="0065076D">
              <w:t>Pracovníci přicházející do styku s nebezpečnými chemickými látkami či přípravky musí mít přístup k údajům, které jsou uvedeny v tomto bezpečnostním listu a musí být s nimi prokazatelně seznámeni. Jakékoli jiné používání nebo zacházení s touto látkou, které není v souladu s údaji tohoto Bezpečnostního listu, vylučuje odpovědnost za vady, resp. škodu, za kterou by jinak odpovídal výrobce, dovozce nebo prodejce.</w:t>
            </w:r>
          </w:p>
        </w:tc>
      </w:tr>
    </w:tbl>
    <w:p w:rsidR="002B25CF" w:rsidRDefault="002B25CF" w:rsidP="00423304">
      <w:pPr>
        <w:spacing w:after="0" w:line="240" w:lineRule="auto"/>
      </w:pPr>
    </w:p>
    <w:sectPr w:rsidR="002B25CF" w:rsidSect="00BD0A4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39" w:rsidRDefault="00676D39" w:rsidP="00F037BD">
      <w:pPr>
        <w:spacing w:after="0" w:line="240" w:lineRule="auto"/>
      </w:pPr>
      <w:r>
        <w:separator/>
      </w:r>
    </w:p>
  </w:endnote>
  <w:endnote w:type="continuationSeparator" w:id="0">
    <w:p w:rsidR="00676D39" w:rsidRDefault="00676D39" w:rsidP="00F0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39" w:rsidRDefault="00676D39" w:rsidP="00F037BD">
      <w:pPr>
        <w:spacing w:after="0" w:line="240" w:lineRule="auto"/>
      </w:pPr>
      <w:r>
        <w:separator/>
      </w:r>
    </w:p>
  </w:footnote>
  <w:footnote w:type="continuationSeparator" w:id="0">
    <w:p w:rsidR="00676D39" w:rsidRDefault="00676D39" w:rsidP="00F0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39" w:rsidRDefault="00BA48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1" o:spid="_x0000_s15368" type="#_x0000_t75" style="position:absolute;margin-left:0;margin-top:0;width:453.5pt;height:256.1pt;z-index:-251657216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660"/>
      <w:gridCol w:w="1417"/>
      <w:gridCol w:w="3544"/>
      <w:gridCol w:w="1591"/>
    </w:tblGrid>
    <w:tr w:rsidR="00676D39" w:rsidRPr="00D50A1C" w:rsidTr="00D50A1C">
      <w:tc>
        <w:tcPr>
          <w:tcW w:w="9212" w:type="dxa"/>
          <w:gridSpan w:val="4"/>
          <w:shd w:val="clear" w:color="auto" w:fill="D9D9D9" w:themeFill="background1" w:themeFillShade="D9"/>
        </w:tcPr>
        <w:p w:rsidR="00676D39" w:rsidRPr="00D50A1C" w:rsidRDefault="00BA4896" w:rsidP="00F037BD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520372" o:spid="_x0000_s15369" type="#_x0000_t75" style="position:absolute;left:0;text-align:left;margin-left:0;margin-top:0;width:453.5pt;height:256.1pt;z-index:-251656192;mso-position-horizontal:center;mso-position-horizontal-relative:margin;mso-position-vertical:center;mso-position-vertical-relative:margin" o:allowincell="f">
                <v:imagedata r:id="rId1" o:title="logo dochema" gain="19661f" blacklevel="22938f"/>
                <w10:wrap anchorx="margin" anchory="margin"/>
              </v:shape>
            </w:pict>
          </w:r>
          <w:r w:rsidR="00676D39" w:rsidRPr="00D50A1C">
            <w:rPr>
              <w:b/>
              <w:sz w:val="28"/>
            </w:rPr>
            <w:t>BEZPEČNOSTNÍ LIST</w:t>
          </w:r>
        </w:p>
      </w:tc>
    </w:tr>
    <w:tr w:rsidR="00676D39" w:rsidTr="0055615E">
      <w:tc>
        <w:tcPr>
          <w:tcW w:w="2660" w:type="dxa"/>
          <w:tcBorders>
            <w:bottom w:val="nil"/>
          </w:tcBorders>
        </w:tcPr>
        <w:p w:rsidR="00676D39" w:rsidRDefault="00676D39">
          <w:pPr>
            <w:pStyle w:val="Zhlav"/>
          </w:pPr>
          <w:r>
            <w:t>Datum vydání:</w:t>
          </w:r>
        </w:p>
      </w:tc>
      <w:tc>
        <w:tcPr>
          <w:tcW w:w="1417" w:type="dxa"/>
          <w:tcBorders>
            <w:bottom w:val="nil"/>
          </w:tcBorders>
        </w:tcPr>
        <w:p w:rsidR="00676D39" w:rsidRDefault="00DD67D0" w:rsidP="00121FB0">
          <w:pPr>
            <w:pStyle w:val="Zhlav"/>
          </w:pPr>
          <w:r>
            <w:t>4. 2. 2010</w:t>
          </w:r>
        </w:p>
      </w:tc>
      <w:tc>
        <w:tcPr>
          <w:tcW w:w="3544" w:type="dxa"/>
          <w:vMerge w:val="restart"/>
          <w:vAlign w:val="center"/>
        </w:tcPr>
        <w:p w:rsidR="00676D39" w:rsidRDefault="00676D39" w:rsidP="00D50A1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9470213" wp14:editId="54274DCC">
                <wp:extent cx="1619250" cy="914400"/>
                <wp:effectExtent l="19050" t="0" r="0" b="0"/>
                <wp:docPr id="1" name="Obrázek 0" descr="logo doch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ochem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1" w:type="dxa"/>
          <w:vMerge w:val="restart"/>
          <w:vAlign w:val="center"/>
        </w:tcPr>
        <w:p w:rsidR="00676D39" w:rsidRDefault="00676D39" w:rsidP="00F037BD">
          <w:pPr>
            <w:jc w:val="center"/>
          </w:pPr>
          <w:r>
            <w:t xml:space="preserve">Stránka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A4896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 xml:space="preserve"> z </w:t>
          </w:r>
          <w:fldSimple w:instr=" NUMPAGES  ">
            <w:r w:rsidR="00BA4896">
              <w:rPr>
                <w:noProof/>
              </w:rPr>
              <w:t>9</w:t>
            </w:r>
          </w:fldSimple>
        </w:p>
      </w:tc>
    </w:tr>
    <w:tr w:rsidR="00676D39" w:rsidTr="0055615E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676D39" w:rsidRDefault="00676D39">
          <w:pPr>
            <w:pStyle w:val="Zhlav"/>
          </w:pPr>
          <w:r>
            <w:t>Datum revize:</w:t>
          </w:r>
        </w:p>
      </w:tc>
      <w:tc>
        <w:tcPr>
          <w:tcW w:w="1417" w:type="dxa"/>
          <w:tcBorders>
            <w:top w:val="nil"/>
            <w:bottom w:val="single" w:sz="4" w:space="0" w:color="000000" w:themeColor="text1"/>
          </w:tcBorders>
        </w:tcPr>
        <w:p w:rsidR="00676D39" w:rsidRDefault="00DD67D0" w:rsidP="00676D39">
          <w:pPr>
            <w:pStyle w:val="Zhlav"/>
          </w:pPr>
          <w:r>
            <w:t>8. 6. 2015</w:t>
          </w:r>
        </w:p>
      </w:tc>
      <w:tc>
        <w:tcPr>
          <w:tcW w:w="3544" w:type="dxa"/>
          <w:vMerge/>
        </w:tcPr>
        <w:p w:rsidR="00676D39" w:rsidRDefault="00676D39" w:rsidP="00D50A1C">
          <w:pPr>
            <w:pStyle w:val="Zhlav"/>
          </w:pP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5615E">
      <w:tc>
        <w:tcPr>
          <w:tcW w:w="2660" w:type="dxa"/>
          <w:tcBorders>
            <w:top w:val="single" w:sz="4" w:space="0" w:color="000000" w:themeColor="text1"/>
            <w:bottom w:val="nil"/>
          </w:tcBorders>
        </w:tcPr>
        <w:p w:rsidR="00676D39" w:rsidRDefault="00676D39">
          <w:pPr>
            <w:pStyle w:val="Zhlav"/>
          </w:pPr>
          <w:r>
            <w:t>Verze číslo:</w:t>
          </w:r>
        </w:p>
      </w:tc>
      <w:tc>
        <w:tcPr>
          <w:tcW w:w="1417" w:type="dxa"/>
          <w:tcBorders>
            <w:top w:val="single" w:sz="4" w:space="0" w:color="000000" w:themeColor="text1"/>
            <w:bottom w:val="nil"/>
          </w:tcBorders>
        </w:tcPr>
        <w:p w:rsidR="00676D39" w:rsidRDefault="00676D39" w:rsidP="00F037BD">
          <w:pPr>
            <w:pStyle w:val="Zhlav"/>
          </w:pPr>
          <w:r>
            <w:t>3</w:t>
          </w:r>
        </w:p>
      </w:tc>
      <w:tc>
        <w:tcPr>
          <w:tcW w:w="3544" w:type="dxa"/>
          <w:vMerge/>
        </w:tcPr>
        <w:p w:rsidR="00676D39" w:rsidRDefault="00676D39" w:rsidP="00D50A1C">
          <w:pPr>
            <w:pStyle w:val="Zhlav"/>
          </w:pP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5615E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676D39" w:rsidRDefault="00676D39">
          <w:pPr>
            <w:pStyle w:val="Zhlav"/>
          </w:pPr>
          <w:r>
            <w:t>Nahrazuje verzi č./ze dne:</w:t>
          </w:r>
        </w:p>
      </w:tc>
      <w:tc>
        <w:tcPr>
          <w:tcW w:w="1417" w:type="dxa"/>
          <w:tcBorders>
            <w:top w:val="nil"/>
            <w:bottom w:val="single" w:sz="4" w:space="0" w:color="000000" w:themeColor="text1"/>
          </w:tcBorders>
        </w:tcPr>
        <w:p w:rsidR="00676D39" w:rsidRDefault="00DD67D0" w:rsidP="00F037BD">
          <w:pPr>
            <w:pStyle w:val="Zhlav"/>
          </w:pPr>
          <w:r>
            <w:t>27. 6. 2014</w:t>
          </w:r>
        </w:p>
      </w:tc>
      <w:tc>
        <w:tcPr>
          <w:tcW w:w="3544" w:type="dxa"/>
          <w:vMerge/>
          <w:tcBorders>
            <w:bottom w:val="single" w:sz="4" w:space="0" w:color="000000" w:themeColor="text1"/>
          </w:tcBorders>
        </w:tcPr>
        <w:p w:rsidR="00676D39" w:rsidRDefault="00676D39" w:rsidP="00D50A1C">
          <w:pPr>
            <w:pStyle w:val="Zhlav"/>
          </w:pP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23572">
      <w:tc>
        <w:tcPr>
          <w:tcW w:w="2660" w:type="dxa"/>
          <w:tcBorders>
            <w:bottom w:val="nil"/>
          </w:tcBorders>
        </w:tcPr>
        <w:p w:rsidR="00676D39" w:rsidRDefault="00676D39">
          <w:pPr>
            <w:pStyle w:val="Zhlav"/>
          </w:pPr>
          <w:r>
            <w:t>Název výrobku:</w:t>
          </w:r>
        </w:p>
      </w:tc>
      <w:tc>
        <w:tcPr>
          <w:tcW w:w="4961" w:type="dxa"/>
          <w:gridSpan w:val="2"/>
          <w:tcBorders>
            <w:bottom w:val="nil"/>
          </w:tcBorders>
        </w:tcPr>
        <w:p w:rsidR="00676D39" w:rsidRPr="00F037BD" w:rsidRDefault="00DD67D0" w:rsidP="0055615E">
          <w:pPr>
            <w:pStyle w:val="Zhlav"/>
            <w:rPr>
              <w:b/>
            </w:rPr>
          </w:pPr>
          <w:r>
            <w:rPr>
              <w:b/>
            </w:rPr>
            <w:t>Cit čistič odpadů</w:t>
          </w: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  <w:tr w:rsidR="00676D39" w:rsidTr="00523572">
      <w:tc>
        <w:tcPr>
          <w:tcW w:w="2660" w:type="dxa"/>
          <w:tcBorders>
            <w:top w:val="nil"/>
          </w:tcBorders>
        </w:tcPr>
        <w:p w:rsidR="00676D39" w:rsidRDefault="00676D39">
          <w:pPr>
            <w:pStyle w:val="Zhlav"/>
          </w:pPr>
          <w:r>
            <w:t>Specifikace výrobku:</w:t>
          </w:r>
        </w:p>
      </w:tc>
      <w:tc>
        <w:tcPr>
          <w:tcW w:w="4961" w:type="dxa"/>
          <w:gridSpan w:val="2"/>
          <w:tcBorders>
            <w:top w:val="nil"/>
          </w:tcBorders>
        </w:tcPr>
        <w:p w:rsidR="00676D39" w:rsidRPr="00F037BD" w:rsidRDefault="00676D39">
          <w:pPr>
            <w:pStyle w:val="Zhlav"/>
          </w:pPr>
          <w:r>
            <w:t>-</w:t>
          </w:r>
        </w:p>
      </w:tc>
      <w:tc>
        <w:tcPr>
          <w:tcW w:w="1591" w:type="dxa"/>
          <w:vMerge/>
        </w:tcPr>
        <w:p w:rsidR="00676D39" w:rsidRDefault="00676D39">
          <w:pPr>
            <w:pStyle w:val="Zhlav"/>
          </w:pPr>
        </w:p>
      </w:tc>
    </w:tr>
  </w:tbl>
  <w:p w:rsidR="00676D39" w:rsidRDefault="00676D3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39" w:rsidRDefault="00BA48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0" o:spid="_x0000_s15367" type="#_x0000_t75" style="position:absolute;margin-left:0;margin-top:0;width:453.5pt;height:256.1pt;z-index:-251658240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F6505"/>
    <w:multiLevelType w:val="multilevel"/>
    <w:tmpl w:val="584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72144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497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A52758"/>
    <w:multiLevelType w:val="multilevel"/>
    <w:tmpl w:val="046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2685DA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4B3405"/>
    <w:multiLevelType w:val="multilevel"/>
    <w:tmpl w:val="CE3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EB2A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5752FE"/>
    <w:multiLevelType w:val="multilevel"/>
    <w:tmpl w:val="3D3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C74030"/>
    <w:multiLevelType w:val="multilevel"/>
    <w:tmpl w:val="680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E7C2B"/>
    <w:multiLevelType w:val="hybridMultilevel"/>
    <w:tmpl w:val="94D2B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7701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9C4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CE698F"/>
    <w:multiLevelType w:val="multilevel"/>
    <w:tmpl w:val="E1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EE4D36"/>
    <w:multiLevelType w:val="hybridMultilevel"/>
    <w:tmpl w:val="EAE2789E"/>
    <w:lvl w:ilvl="0" w:tplc="8A9CE5C2">
      <w:start w:val="9"/>
      <w:numFmt w:val="bullet"/>
      <w:lvlText w:val=""/>
      <w:lvlJc w:val="left"/>
      <w:pPr>
        <w:ind w:left="1152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66E5A0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9A7263"/>
    <w:multiLevelType w:val="multilevel"/>
    <w:tmpl w:val="80D03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8F3D22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16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2"/>
  </w:num>
  <w:num w:numId="15">
    <w:abstractNumId w:val="0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537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BD"/>
    <w:rsid w:val="00010F54"/>
    <w:rsid w:val="0002775F"/>
    <w:rsid w:val="00031D0F"/>
    <w:rsid w:val="00063AD2"/>
    <w:rsid w:val="000703E8"/>
    <w:rsid w:val="000770F1"/>
    <w:rsid w:val="00080E2C"/>
    <w:rsid w:val="00084ACC"/>
    <w:rsid w:val="000A6E3B"/>
    <w:rsid w:val="000B1BDB"/>
    <w:rsid w:val="000C27BE"/>
    <w:rsid w:val="000F38B5"/>
    <w:rsid w:val="00112744"/>
    <w:rsid w:val="00121FB0"/>
    <w:rsid w:val="00137EB4"/>
    <w:rsid w:val="0014491B"/>
    <w:rsid w:val="001801AE"/>
    <w:rsid w:val="00184976"/>
    <w:rsid w:val="001858D3"/>
    <w:rsid w:val="001A7B67"/>
    <w:rsid w:val="001A7D1E"/>
    <w:rsid w:val="001B6B0E"/>
    <w:rsid w:val="001C2440"/>
    <w:rsid w:val="001D68F3"/>
    <w:rsid w:val="001F4223"/>
    <w:rsid w:val="0021153A"/>
    <w:rsid w:val="00293954"/>
    <w:rsid w:val="0029471A"/>
    <w:rsid w:val="002A4E51"/>
    <w:rsid w:val="002B1E40"/>
    <w:rsid w:val="002B25CF"/>
    <w:rsid w:val="002C2905"/>
    <w:rsid w:val="0032192B"/>
    <w:rsid w:val="00321D4C"/>
    <w:rsid w:val="00326CA9"/>
    <w:rsid w:val="00327054"/>
    <w:rsid w:val="003376BF"/>
    <w:rsid w:val="00340637"/>
    <w:rsid w:val="00382886"/>
    <w:rsid w:val="00383ABD"/>
    <w:rsid w:val="0038791B"/>
    <w:rsid w:val="003953C0"/>
    <w:rsid w:val="003C0A49"/>
    <w:rsid w:val="003C0F81"/>
    <w:rsid w:val="003C61F4"/>
    <w:rsid w:val="003E3986"/>
    <w:rsid w:val="003E5ACA"/>
    <w:rsid w:val="003F45DD"/>
    <w:rsid w:val="00405694"/>
    <w:rsid w:val="00410434"/>
    <w:rsid w:val="0042310C"/>
    <w:rsid w:val="00423304"/>
    <w:rsid w:val="004367D3"/>
    <w:rsid w:val="00445554"/>
    <w:rsid w:val="00452686"/>
    <w:rsid w:val="0046245D"/>
    <w:rsid w:val="00471C7E"/>
    <w:rsid w:val="0048565A"/>
    <w:rsid w:val="00487F22"/>
    <w:rsid w:val="004A5074"/>
    <w:rsid w:val="004B4E3F"/>
    <w:rsid w:val="004B783B"/>
    <w:rsid w:val="004C3223"/>
    <w:rsid w:val="004E0B31"/>
    <w:rsid w:val="004E44B8"/>
    <w:rsid w:val="00523572"/>
    <w:rsid w:val="00536E0B"/>
    <w:rsid w:val="00555763"/>
    <w:rsid w:val="0055615E"/>
    <w:rsid w:val="00564F06"/>
    <w:rsid w:val="00567D4B"/>
    <w:rsid w:val="00586863"/>
    <w:rsid w:val="00586E2C"/>
    <w:rsid w:val="005A063E"/>
    <w:rsid w:val="005A27DB"/>
    <w:rsid w:val="005A6C1A"/>
    <w:rsid w:val="005B4C8B"/>
    <w:rsid w:val="005C3A45"/>
    <w:rsid w:val="005C5B33"/>
    <w:rsid w:val="005C6828"/>
    <w:rsid w:val="005D03C7"/>
    <w:rsid w:val="005E1409"/>
    <w:rsid w:val="005F43B7"/>
    <w:rsid w:val="00600F35"/>
    <w:rsid w:val="00637195"/>
    <w:rsid w:val="006460CE"/>
    <w:rsid w:val="0065076D"/>
    <w:rsid w:val="006537C2"/>
    <w:rsid w:val="006560BE"/>
    <w:rsid w:val="00665081"/>
    <w:rsid w:val="00676D39"/>
    <w:rsid w:val="006B2CAB"/>
    <w:rsid w:val="006B668E"/>
    <w:rsid w:val="006C5821"/>
    <w:rsid w:val="006D25E8"/>
    <w:rsid w:val="00741C19"/>
    <w:rsid w:val="0075688D"/>
    <w:rsid w:val="0076262D"/>
    <w:rsid w:val="00771A46"/>
    <w:rsid w:val="0077280E"/>
    <w:rsid w:val="00772981"/>
    <w:rsid w:val="00793D4B"/>
    <w:rsid w:val="007A46EC"/>
    <w:rsid w:val="007C69DB"/>
    <w:rsid w:val="007C6DF5"/>
    <w:rsid w:val="007C781A"/>
    <w:rsid w:val="007D1C67"/>
    <w:rsid w:val="008206A4"/>
    <w:rsid w:val="00834791"/>
    <w:rsid w:val="008350F7"/>
    <w:rsid w:val="008371B0"/>
    <w:rsid w:val="00860FA6"/>
    <w:rsid w:val="008A326D"/>
    <w:rsid w:val="008C0208"/>
    <w:rsid w:val="008C5D79"/>
    <w:rsid w:val="008F19E5"/>
    <w:rsid w:val="009135D0"/>
    <w:rsid w:val="00913AF4"/>
    <w:rsid w:val="00916A40"/>
    <w:rsid w:val="00916B33"/>
    <w:rsid w:val="009227FA"/>
    <w:rsid w:val="00925836"/>
    <w:rsid w:val="00932821"/>
    <w:rsid w:val="0096710A"/>
    <w:rsid w:val="00967DEC"/>
    <w:rsid w:val="00980311"/>
    <w:rsid w:val="00980664"/>
    <w:rsid w:val="00987E77"/>
    <w:rsid w:val="0099366F"/>
    <w:rsid w:val="009A03E8"/>
    <w:rsid w:val="009A0E90"/>
    <w:rsid w:val="009A327D"/>
    <w:rsid w:val="009A34FD"/>
    <w:rsid w:val="009A4BA0"/>
    <w:rsid w:val="009C5F44"/>
    <w:rsid w:val="009E201B"/>
    <w:rsid w:val="009E2670"/>
    <w:rsid w:val="00A10698"/>
    <w:rsid w:val="00A15A1A"/>
    <w:rsid w:val="00A347F5"/>
    <w:rsid w:val="00A526C0"/>
    <w:rsid w:val="00A527EE"/>
    <w:rsid w:val="00A7319B"/>
    <w:rsid w:val="00AC0A42"/>
    <w:rsid w:val="00AD1E91"/>
    <w:rsid w:val="00AD2989"/>
    <w:rsid w:val="00AF12D9"/>
    <w:rsid w:val="00AF16CF"/>
    <w:rsid w:val="00AF3089"/>
    <w:rsid w:val="00B01250"/>
    <w:rsid w:val="00B1023A"/>
    <w:rsid w:val="00B23BE0"/>
    <w:rsid w:val="00B425B2"/>
    <w:rsid w:val="00B53E52"/>
    <w:rsid w:val="00B64AC7"/>
    <w:rsid w:val="00B7327E"/>
    <w:rsid w:val="00B94B7D"/>
    <w:rsid w:val="00BA4896"/>
    <w:rsid w:val="00BD0A45"/>
    <w:rsid w:val="00BF5206"/>
    <w:rsid w:val="00C03111"/>
    <w:rsid w:val="00C05641"/>
    <w:rsid w:val="00C115EC"/>
    <w:rsid w:val="00C55085"/>
    <w:rsid w:val="00CA640D"/>
    <w:rsid w:val="00CB2AE7"/>
    <w:rsid w:val="00CC1085"/>
    <w:rsid w:val="00CC328A"/>
    <w:rsid w:val="00CC70E2"/>
    <w:rsid w:val="00CD22D8"/>
    <w:rsid w:val="00CD6F52"/>
    <w:rsid w:val="00CF22D8"/>
    <w:rsid w:val="00CF7CF5"/>
    <w:rsid w:val="00D50A1C"/>
    <w:rsid w:val="00D54565"/>
    <w:rsid w:val="00D604C8"/>
    <w:rsid w:val="00D61A21"/>
    <w:rsid w:val="00D61D20"/>
    <w:rsid w:val="00D67BC5"/>
    <w:rsid w:val="00D957F2"/>
    <w:rsid w:val="00DC2E2A"/>
    <w:rsid w:val="00DD67D0"/>
    <w:rsid w:val="00E0223B"/>
    <w:rsid w:val="00E20481"/>
    <w:rsid w:val="00E44FAC"/>
    <w:rsid w:val="00E502FC"/>
    <w:rsid w:val="00E51107"/>
    <w:rsid w:val="00E57C93"/>
    <w:rsid w:val="00E62F62"/>
    <w:rsid w:val="00E7451F"/>
    <w:rsid w:val="00E8706B"/>
    <w:rsid w:val="00E95392"/>
    <w:rsid w:val="00ED06C8"/>
    <w:rsid w:val="00EF5845"/>
    <w:rsid w:val="00F0136A"/>
    <w:rsid w:val="00F037BD"/>
    <w:rsid w:val="00F1138A"/>
    <w:rsid w:val="00F23174"/>
    <w:rsid w:val="00F24670"/>
    <w:rsid w:val="00F24B98"/>
    <w:rsid w:val="00F37131"/>
    <w:rsid w:val="00F56BAA"/>
    <w:rsid w:val="00F947E0"/>
    <w:rsid w:val="00FA28CD"/>
    <w:rsid w:val="00FA563A"/>
    <w:rsid w:val="00FC415C"/>
    <w:rsid w:val="00FC56ED"/>
    <w:rsid w:val="00FE480A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8D9A-6DBA-4C42-BF84-C6244C48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2049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 Hamanová</cp:lastModifiedBy>
  <cp:revision>5</cp:revision>
  <dcterms:created xsi:type="dcterms:W3CDTF">2015-06-08T17:51:00Z</dcterms:created>
  <dcterms:modified xsi:type="dcterms:W3CDTF">2015-06-08T18:49:00Z</dcterms:modified>
</cp:coreProperties>
</file>